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rPr>
        <w:t>东莞市政府采购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441900023-2021-00790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清溪镇5座水库降等评估报告编制工作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ascii="黑体" w:hAnsi="黑体" w:eastAsia="黑体" w:cs="黑体"/>
                <w:bCs/>
                <w:color w:val="auto"/>
                <w:sz w:val="32"/>
                <w:szCs w:val="24"/>
                <w:highlight w:val="none"/>
              </w:rPr>
              <w:t>东莞市清溪镇水务工程运营中心</w:t>
            </w:r>
            <w:r>
              <w:rPr>
                <w:rFonts w:hint="default" w:ascii="黑体" w:hAnsi="黑体" w:eastAsia="黑体" w:cs="黑体"/>
                <w:bCs/>
                <w:color w:val="auto"/>
                <w:sz w:val="32"/>
                <w:szCs w:val="24"/>
                <w:highlight w:val="none"/>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7、加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sz w:val="24"/>
          <w:szCs w:val="24"/>
          <w:lang w:val="en-US" w:eastAsia="zh-CN"/>
        </w:rPr>
      </w:pPr>
      <w:r>
        <w:rPr>
          <w:rFonts w:hint="eastAsia"/>
          <w:b/>
          <w:bCs/>
          <w:sz w:val="24"/>
          <w:szCs w:val="24"/>
          <w:lang w:val="en-US" w:eastAsia="zh-CN"/>
        </w:rPr>
        <w:t>10、公司位置：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sz w:val="40"/>
          <w:szCs w:val="40"/>
          <w:lang w:eastAsia="zh-CN"/>
        </w:rPr>
      </w:pPr>
      <w:r>
        <w:rPr>
          <w:rFonts w:hint="eastAsia" w:eastAsia="宋体"/>
          <w:sz w:val="40"/>
          <w:szCs w:val="40"/>
          <w:lang w:eastAsia="zh-CN"/>
        </w:rPr>
        <w:drawing>
          <wp:inline distT="0" distB="0" distL="114300" distR="114300">
            <wp:extent cx="5266690" cy="4297680"/>
            <wp:effectExtent l="0" t="0" r="381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123"/>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ascii="宋体" w:hAnsi="宋体" w:eastAsia="宋体"/>
          <w:b/>
          <w:bCs/>
          <w:color w:val="auto"/>
          <w:sz w:val="21"/>
          <w:szCs w:val="21"/>
          <w:highlight w:val="none"/>
          <w:u w:val="single"/>
        </w:rPr>
        <w:t>东莞市清溪镇水务工程运营中心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bCs/>
          <w:color w:val="auto"/>
          <w:sz w:val="21"/>
          <w:szCs w:val="21"/>
          <w:highlight w:val="none"/>
          <w:u w:val="single"/>
        </w:rPr>
        <w:t>清溪镇5座水库降等评估报告编制工作</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编号：441900023-2021-00790</w:t>
      </w:r>
      <w:r>
        <w:rPr>
          <w:rFonts w:hint="eastAsia" w:ascii="宋体" w:hAnsi="宋体" w:eastAsia="宋体"/>
          <w:b/>
          <w:bCs/>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名称：清溪镇5座水库降等评估报告编制工作；</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7"/>
        <w:gridCol w:w="3770"/>
        <w:gridCol w:w="97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32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75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4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32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清溪镇5座水库降等评估报告编制工作</w:t>
            </w:r>
          </w:p>
        </w:tc>
        <w:tc>
          <w:tcPr>
            <w:tcW w:w="75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4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bCs/>
                <w:color w:val="auto"/>
                <w:sz w:val="21"/>
                <w:szCs w:val="21"/>
                <w:highlight w:val="none"/>
                <w:u w:val="single"/>
              </w:rPr>
              <w:t>1,</w:t>
            </w:r>
            <w:r>
              <w:rPr>
                <w:rFonts w:hint="eastAsia" w:ascii="宋体" w:hAnsi="宋体"/>
                <w:b/>
                <w:bCs/>
                <w:color w:val="auto"/>
                <w:sz w:val="21"/>
                <w:szCs w:val="21"/>
                <w:highlight w:val="none"/>
                <w:u w:val="single"/>
                <w:lang w:val="en-US" w:eastAsia="zh-CN"/>
              </w:rPr>
              <w:t>35</w:t>
            </w:r>
            <w:r>
              <w:rPr>
                <w:rFonts w:hint="eastAsia" w:ascii="宋体" w:hAnsi="宋体" w:eastAsia="宋体"/>
                <w:b/>
                <w:bCs/>
                <w:color w:val="auto"/>
                <w:sz w:val="21"/>
                <w:szCs w:val="21"/>
                <w:highlight w:val="none"/>
                <w:u w:val="single"/>
              </w:rPr>
              <w:t>0,000.00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投标人必须具有已在国家发展和改革委员会全国投资项目在线审批监管平台（http://www.tzxm.gov.cn/）备案，专业为</w:t>
      </w:r>
      <w:r>
        <w:rPr>
          <w:rFonts w:hint="eastAsia"/>
          <w:color w:val="auto"/>
          <w:highlight w:val="none"/>
          <w:lang w:val="en-US" w:eastAsia="zh-CN"/>
        </w:rPr>
        <w:t>水利水电</w:t>
      </w:r>
      <w:r>
        <w:rPr>
          <w:rFonts w:hint="eastAsia"/>
          <w:color w:val="auto"/>
          <w:highlight w:val="none"/>
        </w:rPr>
        <w:t>（须提供查询截图证明）</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投标人须具有</w:t>
      </w:r>
      <w:r>
        <w:rPr>
          <w:rFonts w:hint="eastAsia" w:ascii="宋体" w:hAnsi="宋体" w:cs="宋体"/>
          <w:bCs/>
          <w:color w:val="auto"/>
          <w:sz w:val="21"/>
          <w:szCs w:val="21"/>
          <w:highlight w:val="none"/>
          <w:lang w:val="en-US" w:eastAsia="zh-CN"/>
        </w:rPr>
        <w:t>有效期内</w:t>
      </w:r>
      <w:r>
        <w:rPr>
          <w:rFonts w:hint="eastAsia" w:ascii="宋体" w:hAnsi="宋体" w:cs="宋体"/>
          <w:color w:val="auto"/>
          <w:sz w:val="21"/>
          <w:szCs w:val="21"/>
          <w:highlight w:val="none"/>
        </w:rPr>
        <w:t>工程勘察综合资质</w:t>
      </w:r>
      <w:r>
        <w:rPr>
          <w:rFonts w:hint="eastAsia" w:ascii="宋体" w:hAnsi="宋体" w:cs="宋体"/>
          <w:color w:val="auto"/>
          <w:sz w:val="21"/>
          <w:szCs w:val="21"/>
          <w:highlight w:val="none"/>
          <w:lang w:val="en-US" w:eastAsia="zh-CN"/>
        </w:rPr>
        <w:t>或</w:t>
      </w:r>
      <w:r>
        <w:rPr>
          <w:rFonts w:hint="eastAsia"/>
          <w:color w:val="auto"/>
          <w:highlight w:val="none"/>
        </w:rPr>
        <w:t>工程勘察专业类（工程测量）专业乙级（含）以上资质。</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中的“获取招标文件登记表”进行填写并带到现场进行领购，并现场领取发票。（招标文件领购价：人民币150元整）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（3）招标文件电子版可在广东省政府采购网（https://gdgpo.czt.gd.gov.cn/）相关招标信息公告下自行下载。</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广东省东莞市南城街道鸿福路199号（市民服务中心）411室</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1、递交投标文件时间：202</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17</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及开标时间：202</w:t>
      </w:r>
      <w:r>
        <w:rPr>
          <w:rFonts w:hint="eastAsia" w:ascii="宋体" w:hAnsi="宋体" w:eastAsia="宋体"/>
          <w:bCs/>
          <w:color w:val="auto"/>
          <w:sz w:val="21"/>
          <w:szCs w:val="21"/>
          <w:highlight w:val="none"/>
          <w:lang w:val="en-US" w:eastAsia="zh-CN"/>
        </w:rPr>
        <w:t>1</w:t>
      </w:r>
      <w:r>
        <w:rPr>
          <w:rFonts w:hint="eastAsia" w:ascii="宋体" w:hAnsi="宋体" w:eastAsia="宋体"/>
          <w:bCs/>
          <w:color w:val="auto"/>
          <w:sz w:val="21"/>
          <w:szCs w:val="21"/>
          <w:highlight w:val="none"/>
        </w:rPr>
        <w:t>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17</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广东省东莞市南城街道鸿福路199号（市民服务中心）411室</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连工</w:t>
      </w:r>
      <w:bookmarkStart w:id="388" w:name="_GoBack"/>
      <w:bookmarkEnd w:id="388"/>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东莞市清溪镇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87732811</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广东省东莞市南城街道鸿福路199号（市民服务中心）411室</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3"/>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广东省政府采购网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https://gdgpo.czt.gd.gov.cn/</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b/>
                <w:color w:val="auto"/>
                <w:sz w:val="21"/>
                <w:szCs w:val="21"/>
                <w:highlight w:val="none"/>
              </w:rPr>
              <w:t>核心产品</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本项目无核心产品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sz w:val="21"/>
                <w:szCs w:val="21"/>
              </w:rPr>
              <w:t>投标保证金</w:t>
            </w:r>
            <w:r>
              <w:rPr>
                <w:rFonts w:hint="eastAsia" w:ascii="宋体" w:hAnsi="宋体"/>
                <w:b/>
                <w:sz w:val="21"/>
                <w:szCs w:val="21"/>
                <w:lang w:eastAsia="zh-CN"/>
              </w:rPr>
              <w:t>：</w:t>
            </w:r>
            <w:r>
              <w:rPr>
                <w:rFonts w:hint="eastAsia" w:ascii="宋体" w:hAnsi="宋体"/>
                <w:b/>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sz w:val="28"/>
          <w:szCs w:val="28"/>
          <w:highlight w:val="none"/>
          <w:lang w:val="en-US" w:eastAsia="zh-CN"/>
        </w:rPr>
      </w:pPr>
      <w:bookmarkStart w:id="8" w:name="_Toc13473"/>
      <w:bookmarkStart w:id="9" w:name="_Toc5749"/>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2"/>
      <w:bookmarkEnd w:id="13"/>
      <w:bookmarkEnd w:id="14"/>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3160"/>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bookmarkStart w:id="15" w:name="_Hlk55209847"/>
            <w:r>
              <w:rPr>
                <w:rFonts w:hint="eastAsia" w:ascii="宋体" w:hAnsi="宋体" w:eastAsia="宋体" w:cs="宋体"/>
                <w:b/>
                <w:color w:val="auto"/>
                <w:sz w:val="21"/>
                <w:szCs w:val="21"/>
                <w:highlight w:val="none"/>
              </w:rPr>
              <w:t>序号</w:t>
            </w:r>
          </w:p>
        </w:tc>
        <w:tc>
          <w:tcPr>
            <w:tcW w:w="185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评分项</w:t>
            </w:r>
          </w:p>
        </w:tc>
        <w:tc>
          <w:tcPr>
            <w:tcW w:w="253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5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价格评分</w:t>
            </w:r>
          </w:p>
        </w:tc>
        <w:tc>
          <w:tcPr>
            <w:tcW w:w="253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5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商务评分</w:t>
            </w:r>
          </w:p>
        </w:tc>
        <w:tc>
          <w:tcPr>
            <w:tcW w:w="253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35</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54"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w:t>
            </w:r>
          </w:p>
        </w:tc>
        <w:tc>
          <w:tcPr>
            <w:tcW w:w="253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468" w:type="pct"/>
            <w:gridSpan w:val="2"/>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253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r>
      <w:bookmarkEnd w:id="10"/>
      <w:bookmarkEnd w:id="15"/>
    </w:tbl>
    <w:p>
      <w:pPr>
        <w:bidi w:val="0"/>
        <w:rPr>
          <w:rFonts w:hint="eastAsia"/>
          <w:color w:val="auto"/>
          <w:highlight w:val="none"/>
        </w:rPr>
      </w:pPr>
    </w:p>
    <w:p>
      <w:pPr>
        <w:pStyle w:val="4"/>
        <w:spacing w:before="0" w:after="0" w:line="240" w:lineRule="auto"/>
        <w:jc w:val="center"/>
        <w:rPr>
          <w:rFonts w:ascii="宋体" w:hAnsi="宋体" w:eastAsia="宋体" w:cs="宋体"/>
          <w:color w:val="auto"/>
          <w:sz w:val="24"/>
          <w:szCs w:val="24"/>
          <w:highlight w:val="none"/>
        </w:rPr>
      </w:pPr>
      <w:bookmarkStart w:id="16" w:name="_Toc18413"/>
      <w:bookmarkStart w:id="17"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35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投标人</w:t>
            </w:r>
            <w:r>
              <w:rPr>
                <w:rFonts w:hint="eastAsia" w:ascii="宋体" w:hAns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具有由国家认监委批准设立的认证机构颁发并在有效期内的质量管理体系认证、环境管理体系认证、职业健康安全管理体系认证，每具有一个得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分，本项最高得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企业荣誉</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投标人自2017年1月1日至今承担的水利工程设计或咨询项目（以获奖证书颁发时间为准）：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获得过国家级奖项的，每个得4分</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获得过省级奖项的，每个得1分</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本项最高得9分。</w:t>
            </w:r>
            <w:r>
              <w:rPr>
                <w:rFonts w:hint="eastAsia" w:ascii="宋体" w:eastAsia="宋体" w:cs="宋体"/>
                <w:bCs/>
                <w:color w:val="auto"/>
                <w:sz w:val="21"/>
                <w:szCs w:val="21"/>
                <w:highlight w:val="none"/>
                <w:lang w:val="en-US" w:eastAsia="zh-CN"/>
              </w:rPr>
              <w:t>（一个奖项只计一次得分，不重复计分）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zh-CN" w:eastAsia="zh-CN"/>
              </w:rPr>
              <w:t>注：</w:t>
            </w:r>
            <w:r>
              <w:rPr>
                <w:rFonts w:hint="eastAsia" w:ascii="宋体" w:eastAsia="宋体" w:cs="宋体"/>
                <w:bCs/>
                <w:color w:val="auto"/>
                <w:sz w:val="21"/>
                <w:szCs w:val="21"/>
                <w:highlight w:val="none"/>
                <w:lang w:val="en-US" w:eastAsia="zh-CN"/>
              </w:rPr>
              <w:t>须提供获奖证书复印件并加盖</w:t>
            </w:r>
            <w:r>
              <w:rPr>
                <w:rFonts w:hint="eastAsia" w:ascii="宋体" w:hAnsi="宋体" w:eastAsia="宋体" w:cs="宋体"/>
                <w:bCs/>
                <w:color w:val="auto"/>
                <w:sz w:val="21"/>
                <w:szCs w:val="21"/>
                <w:highlight w:val="none"/>
                <w:lang w:val="zh-CN"/>
              </w:rPr>
              <w:t>投标人公章</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投标人承接过水库降等</w:t>
            </w:r>
            <w:r>
              <w:rPr>
                <w:rFonts w:hint="eastAsia" w:asci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eastAsia="zh-CN"/>
              </w:rPr>
              <w:t>项目的，每</w:t>
            </w:r>
            <w:r>
              <w:rPr>
                <w:rFonts w:hint="eastAsia" w:asci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eastAsia="zh-CN"/>
              </w:rPr>
              <w:t>项</w:t>
            </w:r>
            <w:r>
              <w:rPr>
                <w:rFonts w:hint="eastAsia" w:ascii="宋体" w:eastAsia="宋体" w:cs="宋体"/>
                <w:bCs/>
                <w:color w:val="auto"/>
                <w:sz w:val="21"/>
                <w:szCs w:val="21"/>
                <w:highlight w:val="none"/>
                <w:lang w:val="en-US" w:eastAsia="zh-CN"/>
              </w:rPr>
              <w:t>合同业绩</w:t>
            </w:r>
            <w:r>
              <w:rPr>
                <w:rFonts w:hint="eastAsia" w:ascii="宋体" w:hAnsi="宋体" w:eastAsia="宋体" w:cs="宋体"/>
                <w:bCs/>
                <w:color w:val="auto"/>
                <w:sz w:val="21"/>
                <w:szCs w:val="21"/>
                <w:highlight w:val="none"/>
                <w:lang w:val="zh-CN" w:eastAsia="zh-CN"/>
              </w:rPr>
              <w:t>得5分</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 xml:space="preserve">本项最高得15分。 </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注：须提供合同复印件并加盖投标人公章</w:t>
            </w: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lang w:val="zh-CN" w:eastAsia="zh-CN"/>
              </w:rPr>
              <w:t>单个合同如包含多宗项目的，一个合同按一个项目计算</w:t>
            </w:r>
            <w:r>
              <w:rPr>
                <w:rFonts w:hint="eastAsia" w:ascii="宋体" w:eastAsia="宋体" w:cs="宋体"/>
                <w:bCs/>
                <w:color w:val="auto"/>
                <w:sz w:val="21"/>
                <w:szCs w:val="21"/>
                <w:highlight w:val="none"/>
                <w:lang w:val="zh-CN"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根据投标人提供的服务响应时间承诺进行评分。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（1）投标人承诺在接到采购人通知后1小时内到现场，得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（2）投标人承诺在接到采购人通知后2小时内到现场，得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（3）投标人承诺在接到采购人通知后3小时内到现场，得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（4）投标人未承诺或承诺在接到采购人通知后超过3小时到现场，不得分。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项目理解</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根据投标人是否能全面理解项目服务内容，明晰思路，完整制定项目技术路线，对项目实施方案构思的陈述合理、可行、有独到之处等</w:t>
            </w:r>
            <w:r>
              <w:rPr>
                <w:rFonts w:hint="eastAsia" w:ascii="宋体" w:eastAsia="宋体" w:cs="宋体"/>
                <w:bCs/>
                <w:color w:val="auto"/>
                <w:sz w:val="21"/>
                <w:szCs w:val="21"/>
                <w:highlight w:val="none"/>
                <w:lang w:val="en-US" w:eastAsia="zh-CN"/>
              </w:rPr>
              <w:t>进行综合评审：</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完全满足上述要求，得10分。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2</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基本理解项目的服务要求，有基本的思路，对项目方案构思的陈述基本合理，可行性一般，得6分。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3</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对项目的服务要求理解存在一定不足，思路不清晰，对方案构思的陈述不合理，可行性差，得3分。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4</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无提供项目的相关理解，得0分。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总体技术方案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根据投标人总体技术方案的研究总体思路、可行性、先进性，安全检测服务方案的合理性、可靠性、完整性，采取的措施及提交的研究成果进行</w:t>
            </w:r>
            <w:r>
              <w:rPr>
                <w:rFonts w:hint="eastAsia" w:asci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lang w:val="zh-CN" w:eastAsia="zh-CN"/>
              </w:rPr>
              <w:t>评审</w:t>
            </w:r>
            <w:r>
              <w:rPr>
                <w:rFonts w:hint="eastAsia" w:ascii="宋体" w:eastAsia="宋体" w:cs="宋体"/>
                <w:bCs/>
                <w:color w:val="auto"/>
                <w:sz w:val="21"/>
                <w:szCs w:val="21"/>
                <w:highlight w:val="none"/>
                <w:lang w:val="zh-CN" w:eastAsia="zh-CN"/>
              </w:rPr>
              <w:t>：</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方案科学完整，可行性强，得10分。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2</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方案基本完整，可行性一般，得6分。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3</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方案不完整，可行性差，得3分。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4</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无提供总体技术方案，得0分。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项目质量进度保证措施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对项目进度保证措施的合理性、具体性及可操作性等进行综合</w:t>
            </w:r>
            <w:r>
              <w:rPr>
                <w:rFonts w:hint="eastAsia" w:ascii="宋体" w:eastAsia="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val="zh-CN" w:eastAsia="zh-CN"/>
              </w:rPr>
              <w:t>：</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优于招标工期要求：进度保证措施详细、合理、具体可行，可操作性强，得10分。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2</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满足要求：进度保证措施较为详细、合理，但操作有一定难度，得6分。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3</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满足要求进度保证措施基本合理，但不详细，可操作性不强，得3分。</w:t>
            </w:r>
          </w:p>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4</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无提供项目进度保证措施，得0分。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、根据投标人拟投入本项目的项目负责人的专业技术能力进行评审：（本评分项满分6分）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①具有水利相关专业高级（含）以上职称证书的，得1.5分；具有注册土木工程师证书（水利水电工程）的，得1.5分； 本项最高的3分。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②2017年至今在投标人本单位以主要完成人（或主要贡献人）获得过国家级奖项的，得2分；2017年至今在投标人本单位以主要完成人（或主要贡献人）获得过省级奖项的，得1分；本项最高得3分。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bCs/>
                <w:color w:val="auto"/>
                <w:sz w:val="21"/>
                <w:szCs w:val="21"/>
                <w:highlight w:val="none"/>
                <w:lang w:val="zh-CN"/>
              </w:rPr>
              <w:t>须提供</w:t>
            </w:r>
            <w:r>
              <w:rPr>
                <w:rFonts w:hint="eastAsia" w:ascii="宋体" w:eastAsia="宋体" w:cs="宋体"/>
                <w:bCs/>
                <w:color w:val="auto"/>
                <w:sz w:val="21"/>
                <w:szCs w:val="21"/>
                <w:highlight w:val="none"/>
                <w:lang w:val="en-US" w:eastAsia="zh-CN"/>
              </w:rPr>
              <w:t>项目负责人</w:t>
            </w:r>
            <w:r>
              <w:rPr>
                <w:rFonts w:hint="eastAsia" w:ascii="宋体" w:hAnsi="宋体" w:eastAsia="宋体" w:cs="宋体"/>
                <w:bCs/>
                <w:color w:val="auto"/>
                <w:sz w:val="21"/>
                <w:szCs w:val="21"/>
                <w:highlight w:val="none"/>
                <w:lang w:val="zh-CN"/>
              </w:rPr>
              <w:t>有效证书</w:t>
            </w:r>
            <w:r>
              <w:rPr>
                <w:rFonts w:hint="eastAsia" w:ascii="宋体" w:hAnsi="宋体" w:eastAsia="宋体" w:cs="宋体"/>
                <w:bCs/>
                <w:color w:val="auto"/>
                <w:sz w:val="21"/>
                <w:szCs w:val="21"/>
                <w:highlight w:val="none"/>
                <w:lang w:val="en-US" w:eastAsia="zh-CN"/>
              </w:rPr>
              <w:t>复印件</w:t>
            </w:r>
            <w:r>
              <w:rPr>
                <w:rFonts w:hint="eastAsia" w:ascii="宋体" w:eastAsia="宋体" w:cs="宋体"/>
                <w:bCs/>
                <w:color w:val="auto"/>
                <w:sz w:val="21"/>
                <w:szCs w:val="21"/>
                <w:highlight w:val="none"/>
                <w:lang w:val="en-US" w:eastAsia="zh-CN"/>
              </w:rPr>
              <w:t>、获奖证书复印件、</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为其缴纳的近</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个月</w:t>
            </w:r>
            <w:r>
              <w:rPr>
                <w:rFonts w:hint="eastAsia" w:ascii="宋体" w:hAnsi="宋体" w:eastAsia="宋体" w:cs="宋体"/>
                <w:bCs/>
                <w:color w:val="auto"/>
                <w:sz w:val="21"/>
                <w:szCs w:val="21"/>
                <w:highlight w:val="none"/>
                <w:lang w:val="en-US" w:eastAsia="zh-CN"/>
              </w:rPr>
              <w:t>内</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不含开标当月</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任意1个月的</w:t>
            </w:r>
            <w:r>
              <w:rPr>
                <w:rFonts w:hint="eastAsia" w:ascii="宋体" w:hAnsi="宋体" w:eastAsia="宋体" w:cs="宋体"/>
                <w:bCs/>
                <w:color w:val="auto"/>
                <w:sz w:val="21"/>
                <w:szCs w:val="21"/>
                <w:highlight w:val="none"/>
                <w:lang w:val="zh-CN"/>
              </w:rPr>
              <w:t>社保证明复印件加盖</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公章</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否则不得分。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、根据投标人拟投入本项目的专业负责人</w:t>
            </w:r>
            <w:r>
              <w:rPr>
                <w:rFonts w:hint="eastAsia" w:ascii="宋体" w:hAnsi="宋体" w:eastAsia="宋体" w:cs="宋体"/>
                <w:color w:val="auto"/>
                <w:sz w:val="21"/>
                <w:szCs w:val="21"/>
                <w:highlight w:val="none"/>
              </w:rPr>
              <w:t>（项目负责人除外）</w:t>
            </w:r>
            <w:r>
              <w:rPr>
                <w:rFonts w:hint="eastAsia" w:ascii="宋体" w:hAnsi="宋体" w:eastAsia="宋体" w:cs="宋体"/>
                <w:b/>
                <w:color w:val="auto"/>
                <w:sz w:val="21"/>
                <w:szCs w:val="21"/>
                <w:highlight w:val="none"/>
              </w:rPr>
              <w:t>的专业技术能力进行评审：（本评分项满分11分）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①拟投入本项目的水文、水工、测量、地质专业负责人具有高级（含）以上职称的，每个专业得2分；本项最高得8分。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②水文专业负责人具备注册土木工程师（水利水电工程，专业：工程规划）资格证的得1分；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③水工专业负责人具备注册土木工程师（水利水电工程，专业：水工结构）资格证的得1分；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④测量专业负责人具备注册测绘师资格的得1分；</w:t>
            </w:r>
          </w:p>
          <w:p>
            <w:pPr>
              <w:pStyle w:val="35"/>
              <w:keepNext w:val="0"/>
              <w:keepLines w:val="0"/>
              <w:pageBreakBefore w:val="0"/>
              <w:widowControl w:val="0"/>
              <w:kinsoku/>
              <w:wordWrap/>
              <w:overflowPunct/>
              <w:topLinePunct w:val="0"/>
              <w:autoSpaceDE/>
              <w:autoSpaceDN/>
              <w:bidi w:val="0"/>
              <w:adjustRightInd/>
              <w:snapToGrid/>
              <w:spacing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注：</w:t>
            </w:r>
            <w:r>
              <w:rPr>
                <w:rFonts w:hint="eastAsia" w:ascii="宋体" w:hAnsi="宋体" w:eastAsia="宋体" w:cs="宋体"/>
                <w:bCs/>
                <w:color w:val="auto"/>
                <w:sz w:val="21"/>
                <w:szCs w:val="21"/>
                <w:highlight w:val="none"/>
                <w:lang w:val="zh-CN"/>
              </w:rPr>
              <w:t>须提供</w:t>
            </w:r>
            <w:r>
              <w:rPr>
                <w:rFonts w:hint="eastAsia" w:ascii="宋体" w:eastAsia="宋体" w:cs="宋体"/>
                <w:bCs/>
                <w:color w:val="auto"/>
                <w:sz w:val="21"/>
                <w:szCs w:val="21"/>
                <w:highlight w:val="none"/>
                <w:lang w:val="en-US" w:eastAsia="zh-CN"/>
              </w:rPr>
              <w:t>以上人员</w:t>
            </w:r>
            <w:r>
              <w:rPr>
                <w:rFonts w:hint="eastAsia" w:ascii="宋体" w:hAnsi="宋体" w:eastAsia="宋体" w:cs="宋体"/>
                <w:bCs/>
                <w:color w:val="auto"/>
                <w:sz w:val="21"/>
                <w:szCs w:val="21"/>
                <w:highlight w:val="none"/>
                <w:lang w:val="zh-CN"/>
              </w:rPr>
              <w:t>有效证书</w:t>
            </w:r>
            <w:r>
              <w:rPr>
                <w:rFonts w:hint="eastAsia" w:ascii="宋体" w:hAnsi="宋体" w:eastAsia="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zh-CN"/>
              </w:rPr>
              <w:t>及</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为其缴纳的近</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个月</w:t>
            </w:r>
            <w:r>
              <w:rPr>
                <w:rFonts w:hint="eastAsia" w:ascii="宋体" w:hAnsi="宋体" w:eastAsia="宋体" w:cs="宋体"/>
                <w:bCs/>
                <w:color w:val="auto"/>
                <w:sz w:val="21"/>
                <w:szCs w:val="21"/>
                <w:highlight w:val="none"/>
                <w:lang w:val="en-US" w:eastAsia="zh-CN"/>
              </w:rPr>
              <w:t>内</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不含开标当月</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en-US" w:eastAsia="zh-CN"/>
              </w:rPr>
              <w:t>任意1个月的</w:t>
            </w:r>
            <w:r>
              <w:rPr>
                <w:rFonts w:hint="eastAsia" w:ascii="宋体" w:hAnsi="宋体" w:eastAsia="宋体" w:cs="宋体"/>
                <w:bCs/>
                <w:color w:val="auto"/>
                <w:sz w:val="21"/>
                <w:szCs w:val="21"/>
                <w:highlight w:val="none"/>
                <w:lang w:val="zh-CN"/>
              </w:rPr>
              <w:t>社保证明复印件加盖</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公章</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否则不得分。</w:t>
            </w:r>
            <w:r>
              <w:rPr>
                <w:rFonts w:hint="eastAsia" w:ascii="宋体" w:hAnsi="宋体" w:eastAsia="宋体" w:cs="宋体"/>
                <w:color w:val="auto"/>
                <w:sz w:val="21"/>
                <w:szCs w:val="21"/>
                <w:highlight w:val="none"/>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合理化建议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根据投标人对本项目提出的合理化建议进行综合评审。</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能对本项目提出科学的合理化建议，针对性强，得</w:t>
            </w:r>
            <w:r>
              <w:rPr>
                <w:rFonts w:hint="eastAsia" w:asci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2</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能对本项目提出一定的合理化建议，针对性一般，得</w:t>
            </w:r>
            <w:r>
              <w:rPr>
                <w:rFonts w:hint="eastAsia"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3</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对本项目提出的合理化建议针对性差，得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4</w:t>
            </w:r>
            <w:r>
              <w:rPr>
                <w:rFonts w:hint="eastAsia" w:ascii="宋体" w:eastAsia="宋体" w:cs="宋体"/>
                <w:bCs/>
                <w:color w:val="auto"/>
                <w:sz w:val="21"/>
                <w:szCs w:val="21"/>
                <w:highlight w:val="none"/>
                <w:lang w:val="zh-CN" w:eastAsia="zh-CN"/>
              </w:rPr>
              <w:t>）</w:t>
            </w:r>
            <w:r>
              <w:rPr>
                <w:rFonts w:hint="eastAsia" w:ascii="宋体" w:hAnsi="宋体" w:eastAsia="宋体" w:cs="宋体"/>
                <w:bCs/>
                <w:color w:val="auto"/>
                <w:sz w:val="21"/>
                <w:szCs w:val="21"/>
                <w:highlight w:val="none"/>
                <w:lang w:val="zh-CN" w:eastAsia="zh-CN"/>
              </w:rPr>
              <w:t>无提供合理化建议说明，得0分。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8" w:name="_Toc29685"/>
      <w:bookmarkStart w:id="19" w:name="_Toc2479"/>
      <w:bookmarkStart w:id="20" w:name="_Toc30638"/>
      <w:bookmarkStart w:id="21"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8"/>
      <w:bookmarkEnd w:id="19"/>
      <w:bookmarkEnd w:id="20"/>
    </w:p>
    <w:p>
      <w:pPr>
        <w:pStyle w:val="4"/>
        <w:numPr>
          <w:ilvl w:val="0"/>
          <w:numId w:val="0"/>
        </w:numPr>
        <w:spacing w:before="0" w:after="0" w:line="480" w:lineRule="auto"/>
        <w:ind w:leftChars="0"/>
        <w:jc w:val="center"/>
        <w:rPr>
          <w:rFonts w:ascii="宋体" w:hAnsi="宋体" w:eastAsia="宋体"/>
          <w:color w:val="auto"/>
          <w:highlight w:val="none"/>
        </w:rPr>
      </w:pPr>
      <w:bookmarkStart w:id="22" w:name="_Toc11105"/>
      <w:bookmarkStart w:id="23" w:name="_Toc3095"/>
      <w:bookmarkStart w:id="24"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2"/>
      <w:bookmarkEnd w:id="23"/>
      <w:bookmarkEnd w:id="24"/>
    </w:p>
    <w:p>
      <w:pPr>
        <w:pStyle w:val="5"/>
        <w:widowControl w:val="0"/>
        <w:overflowPunct w:val="0"/>
        <w:spacing w:before="0" w:after="0" w:line="240" w:lineRule="auto"/>
        <w:rPr>
          <w:rFonts w:ascii="宋体" w:hAnsi="宋体" w:eastAsia="宋体"/>
          <w:color w:val="auto"/>
          <w:sz w:val="21"/>
          <w:szCs w:val="21"/>
          <w:highlight w:val="none"/>
        </w:rPr>
      </w:pPr>
      <w:bookmarkStart w:id="25" w:name="_Toc22803"/>
      <w:bookmarkStart w:id="26" w:name="_Toc22847"/>
      <w:bookmarkStart w:id="27" w:name="_Toc18488"/>
      <w:r>
        <w:rPr>
          <w:rFonts w:hint="eastAsia" w:ascii="宋体" w:hAnsi="宋体" w:eastAsia="宋体"/>
          <w:color w:val="auto"/>
          <w:sz w:val="21"/>
          <w:szCs w:val="21"/>
          <w:highlight w:val="none"/>
        </w:rPr>
        <w:t>1.适用范围</w:t>
      </w:r>
      <w:bookmarkEnd w:id="25"/>
      <w:bookmarkEnd w:id="26"/>
      <w:bookmarkEnd w:id="27"/>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8" w:name="_Toc21002"/>
      <w:bookmarkStart w:id="29" w:name="_Toc13400"/>
      <w:bookmarkStart w:id="30" w:name="_Toc16848"/>
      <w:r>
        <w:rPr>
          <w:rFonts w:hint="eastAsia" w:ascii="宋体" w:hAnsi="宋体" w:eastAsia="宋体"/>
          <w:color w:val="auto"/>
          <w:sz w:val="21"/>
          <w:szCs w:val="21"/>
          <w:highlight w:val="none"/>
        </w:rPr>
        <w:t>2.</w:t>
      </w:r>
      <w:bookmarkStart w:id="31" w:name="_Toc1530"/>
      <w:bookmarkStart w:id="32" w:name="_Toc382049092"/>
      <w:bookmarkStart w:id="33" w:name="_Toc298847174"/>
      <w:bookmarkStart w:id="34" w:name="_Toc303084246"/>
      <w:r>
        <w:rPr>
          <w:rFonts w:hint="eastAsia" w:ascii="宋体" w:hAnsi="宋体" w:eastAsia="宋体"/>
          <w:color w:val="auto"/>
          <w:sz w:val="21"/>
          <w:szCs w:val="21"/>
          <w:highlight w:val="none"/>
        </w:rPr>
        <w:t>定义</w:t>
      </w:r>
      <w:bookmarkEnd w:id="28"/>
      <w:bookmarkEnd w:id="29"/>
      <w:bookmarkEnd w:id="30"/>
      <w:bookmarkEnd w:id="31"/>
      <w:bookmarkEnd w:id="32"/>
      <w:bookmarkEnd w:id="33"/>
      <w:bookmarkEnd w:id="34"/>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5" w:name="_Toc2996"/>
      <w:bookmarkStart w:id="36" w:name="_Toc9710"/>
      <w:bookmarkStart w:id="37" w:name="_Toc3780"/>
      <w:r>
        <w:rPr>
          <w:rFonts w:hint="eastAsia" w:ascii="宋体" w:hAnsi="宋体" w:eastAsia="宋体"/>
          <w:color w:val="auto"/>
          <w:sz w:val="21"/>
          <w:szCs w:val="21"/>
          <w:highlight w:val="none"/>
        </w:rPr>
        <w:t>3.货物和服务</w:t>
      </w:r>
      <w:bookmarkEnd w:id="35"/>
      <w:bookmarkEnd w:id="36"/>
      <w:bookmarkEnd w:id="37"/>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8" w:name="_Toc13909"/>
      <w:bookmarkStart w:id="39" w:name="_Toc15945"/>
      <w:bookmarkStart w:id="40" w:name="_Toc12536"/>
      <w:r>
        <w:rPr>
          <w:rFonts w:hint="eastAsia" w:ascii="宋体" w:hAnsi="宋体" w:eastAsia="宋体"/>
          <w:color w:val="auto"/>
          <w:sz w:val="21"/>
          <w:szCs w:val="21"/>
          <w:highlight w:val="none"/>
        </w:rPr>
        <w:t>4.投标费用</w:t>
      </w:r>
      <w:bookmarkEnd w:id="38"/>
      <w:bookmarkEnd w:id="39"/>
      <w:bookmarkEnd w:id="40"/>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1" w:name="_Toc19532"/>
      <w:bookmarkStart w:id="42" w:name="_Toc19094"/>
      <w:bookmarkStart w:id="43" w:name="_Toc25040"/>
      <w:r>
        <w:rPr>
          <w:rFonts w:hint="eastAsia" w:ascii="宋体" w:hAnsi="宋体" w:eastAsia="宋体"/>
          <w:color w:val="auto"/>
          <w:sz w:val="21"/>
          <w:szCs w:val="21"/>
          <w:highlight w:val="none"/>
        </w:rPr>
        <w:t>5.知识产权</w:t>
      </w:r>
      <w:bookmarkEnd w:id="41"/>
      <w:bookmarkEnd w:id="42"/>
      <w:bookmarkEnd w:id="4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4" w:name="_Toc31885"/>
      <w:bookmarkStart w:id="45" w:name="_Toc8432"/>
      <w:bookmarkStart w:id="46" w:name="_Toc21930"/>
      <w:r>
        <w:rPr>
          <w:rFonts w:hint="eastAsia" w:ascii="宋体" w:hAnsi="宋体" w:eastAsia="宋体"/>
          <w:color w:val="auto"/>
          <w:sz w:val="21"/>
          <w:szCs w:val="21"/>
          <w:highlight w:val="none"/>
        </w:rPr>
        <w:t>6.关于联合体投标</w:t>
      </w:r>
      <w:bookmarkEnd w:id="44"/>
      <w:bookmarkEnd w:id="45"/>
      <w:bookmarkEnd w:id="4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7" w:name="_Toc16571"/>
      <w:bookmarkStart w:id="48" w:name="_Toc32331"/>
      <w:bookmarkStart w:id="49" w:name="_Toc13811"/>
      <w:bookmarkStart w:id="50" w:name="_Toc17879"/>
      <w:r>
        <w:rPr>
          <w:rFonts w:hint="eastAsia" w:ascii="宋体" w:hAnsi="宋体" w:eastAsia="宋体"/>
          <w:color w:val="auto"/>
          <w:sz w:val="21"/>
          <w:szCs w:val="21"/>
          <w:highlight w:val="none"/>
        </w:rPr>
        <w:t>7.关于分支机构投标</w:t>
      </w:r>
      <w:bookmarkEnd w:id="47"/>
      <w:bookmarkEnd w:id="48"/>
      <w:bookmarkEnd w:id="4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1"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1"/>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2" w:name="_Toc27045"/>
      <w:bookmarkStart w:id="53"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50"/>
      <w:bookmarkEnd w:id="52"/>
      <w:bookmarkEnd w:id="53"/>
    </w:p>
    <w:p>
      <w:pPr>
        <w:pStyle w:val="5"/>
        <w:widowControl w:val="0"/>
        <w:overflowPunct w:val="0"/>
        <w:spacing w:before="0" w:after="0" w:line="240" w:lineRule="auto"/>
        <w:rPr>
          <w:rFonts w:ascii="宋体" w:hAnsi="宋体" w:eastAsia="宋体"/>
          <w:color w:val="auto"/>
          <w:sz w:val="21"/>
          <w:szCs w:val="21"/>
          <w:highlight w:val="none"/>
        </w:rPr>
      </w:pPr>
      <w:bookmarkStart w:id="54" w:name="_Toc13494"/>
      <w:bookmarkStart w:id="55" w:name="_Toc21771"/>
      <w:bookmarkStart w:id="56" w:name="_Toc1423"/>
      <w:r>
        <w:rPr>
          <w:rFonts w:hint="eastAsia" w:ascii="宋体" w:hAnsi="宋体" w:eastAsia="宋体"/>
          <w:color w:val="auto"/>
          <w:sz w:val="21"/>
          <w:szCs w:val="21"/>
          <w:highlight w:val="none"/>
        </w:rPr>
        <w:t>8.招标文件的组成</w:t>
      </w:r>
      <w:bookmarkEnd w:id="54"/>
      <w:bookmarkEnd w:id="55"/>
      <w:bookmarkEnd w:id="5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7" w:name="_Toc14217"/>
      <w:bookmarkStart w:id="58" w:name="_Toc17274"/>
      <w:bookmarkStart w:id="59" w:name="_Toc7997"/>
      <w:r>
        <w:rPr>
          <w:rFonts w:hint="eastAsia" w:ascii="宋体" w:hAnsi="宋体" w:eastAsia="宋体"/>
          <w:color w:val="auto"/>
          <w:sz w:val="21"/>
          <w:szCs w:val="21"/>
          <w:highlight w:val="none"/>
        </w:rPr>
        <w:t>9.招标文件的澄清或修改</w:t>
      </w:r>
      <w:bookmarkEnd w:id="57"/>
      <w:bookmarkEnd w:id="58"/>
      <w:bookmarkEnd w:id="5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60" w:name="_Toc4773"/>
      <w:bookmarkStart w:id="61" w:name="_Toc23726"/>
      <w:bookmarkStart w:id="62" w:name="_Toc16712"/>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60"/>
      <w:bookmarkEnd w:id="61"/>
      <w:bookmarkEnd w:id="62"/>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3" w:name="_Toc7434"/>
      <w:bookmarkStart w:id="64" w:name="_Toc20623"/>
      <w:bookmarkStart w:id="65" w:name="_Toc28092"/>
      <w:r>
        <w:rPr>
          <w:rFonts w:hint="eastAsia" w:ascii="宋体" w:hAnsi="宋体" w:eastAsia="宋体"/>
          <w:color w:val="auto"/>
          <w:sz w:val="21"/>
          <w:szCs w:val="21"/>
          <w:highlight w:val="none"/>
        </w:rPr>
        <w:t>10.投标文件的语言及度量衡单位</w:t>
      </w:r>
      <w:bookmarkEnd w:id="63"/>
      <w:bookmarkEnd w:id="64"/>
      <w:bookmarkEnd w:id="6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6" w:name="_Toc382049103"/>
      <w:bookmarkStart w:id="67" w:name="_Toc18999"/>
      <w:bookmarkStart w:id="68" w:name="_Toc28866"/>
      <w:bookmarkStart w:id="69" w:name="_Toc307934854"/>
      <w:bookmarkStart w:id="70" w:name="_Toc7728"/>
      <w:bookmarkStart w:id="71" w:name="_Toc12145"/>
      <w:bookmarkStart w:id="72" w:name="_Toc30308425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6"/>
      <w:bookmarkEnd w:id="67"/>
      <w:bookmarkEnd w:id="68"/>
      <w:bookmarkEnd w:id="69"/>
      <w:bookmarkEnd w:id="70"/>
      <w:bookmarkEnd w:id="71"/>
      <w:bookmarkEnd w:id="7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3" w:name="_Toc21747"/>
      <w:bookmarkStart w:id="74" w:name="_Toc30189"/>
      <w:bookmarkStart w:id="75" w:name="_Toc3882"/>
      <w:r>
        <w:rPr>
          <w:rFonts w:hint="eastAsia" w:ascii="宋体" w:hAnsi="宋体" w:eastAsia="宋体"/>
          <w:color w:val="auto"/>
          <w:sz w:val="21"/>
          <w:szCs w:val="21"/>
          <w:highlight w:val="none"/>
        </w:rPr>
        <w:t>12.投标文件编制</w:t>
      </w:r>
      <w:bookmarkEnd w:id="73"/>
      <w:bookmarkEnd w:id="74"/>
      <w:bookmarkEnd w:id="7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6"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6"/>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7" w:name="_Toc259"/>
      <w:bookmarkStart w:id="78" w:name="_Toc17188"/>
      <w:bookmarkStart w:id="79" w:name="_Toc7847"/>
      <w:r>
        <w:rPr>
          <w:rFonts w:hint="eastAsia" w:ascii="宋体" w:hAnsi="宋体" w:eastAsia="宋体"/>
          <w:color w:val="auto"/>
          <w:sz w:val="21"/>
          <w:szCs w:val="21"/>
          <w:highlight w:val="none"/>
        </w:rPr>
        <w:t>13.投标报价说明</w:t>
      </w:r>
      <w:bookmarkEnd w:id="77"/>
      <w:bookmarkEnd w:id="78"/>
      <w:bookmarkEnd w:id="7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0" w:name="_Toc16535"/>
      <w:bookmarkStart w:id="81" w:name="_Toc27724"/>
      <w:bookmarkStart w:id="82" w:name="_Toc18911"/>
      <w:r>
        <w:rPr>
          <w:rFonts w:hint="eastAsia" w:ascii="宋体" w:hAnsi="宋体" w:eastAsia="宋体"/>
          <w:color w:val="auto"/>
          <w:sz w:val="21"/>
          <w:szCs w:val="21"/>
          <w:highlight w:val="none"/>
        </w:rPr>
        <w:t>14.投标人所提供的服务或货物的证明文件</w:t>
      </w:r>
      <w:bookmarkEnd w:id="80"/>
      <w:bookmarkEnd w:id="81"/>
      <w:bookmarkEnd w:id="8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3" w:name="_Hlt107925668"/>
      <w:bookmarkEnd w:id="83"/>
      <w:bookmarkStart w:id="84" w:name="_Hlt107925638"/>
      <w:bookmarkEnd w:id="84"/>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5" w:name="_Toc30815"/>
      <w:bookmarkStart w:id="86" w:name="_Toc19520"/>
      <w:bookmarkStart w:id="87" w:name="_Toc22169"/>
      <w:r>
        <w:rPr>
          <w:rFonts w:hint="eastAsia" w:ascii="宋体" w:hAnsi="宋体" w:eastAsia="宋体"/>
          <w:color w:val="auto"/>
          <w:sz w:val="21"/>
          <w:szCs w:val="21"/>
          <w:highlight w:val="none"/>
        </w:rPr>
        <w:t>15.★投标有效期</w:t>
      </w:r>
      <w:bookmarkEnd w:id="85"/>
      <w:bookmarkEnd w:id="86"/>
      <w:bookmarkEnd w:id="87"/>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8" w:name="_Toc12456"/>
      <w:bookmarkStart w:id="89" w:name="_Toc25817"/>
      <w:bookmarkStart w:id="90" w:name="_Toc30257"/>
      <w:r>
        <w:rPr>
          <w:rFonts w:hint="eastAsia" w:ascii="宋体" w:hAnsi="宋体" w:eastAsia="宋体"/>
          <w:color w:val="auto"/>
          <w:sz w:val="21"/>
          <w:szCs w:val="21"/>
          <w:highlight w:val="none"/>
        </w:rPr>
        <w:t>16.投标保证金</w:t>
      </w:r>
      <w:bookmarkEnd w:id="88"/>
      <w:bookmarkEnd w:id="89"/>
      <w:bookmarkEnd w:id="90"/>
      <w:r>
        <w:rPr>
          <w:rFonts w:hint="eastAsia" w:ascii="宋体" w:hAnsi="宋体" w:eastAsia="宋体"/>
          <w:sz w:val="21"/>
          <w:szCs w:val="21"/>
          <w:lang w:eastAsia="zh-CN"/>
        </w:rPr>
        <w:t>（</w:t>
      </w:r>
      <w:r>
        <w:rPr>
          <w:rFonts w:hint="eastAsia" w:ascii="宋体" w:hAnsi="宋体"/>
          <w:b/>
          <w:sz w:val="21"/>
          <w:szCs w:val="21"/>
          <w:lang w:val="en-US" w:eastAsia="zh-CN"/>
        </w:rPr>
        <w:t>本项目不需提供投标保证金</w:t>
      </w:r>
      <w:r>
        <w:rPr>
          <w:rFonts w:hint="eastAsia" w:ascii="宋体" w:hAnsi="宋体" w:eastAsia="宋体"/>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1"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1"/>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2" w:name="_Toc31124"/>
      <w:bookmarkStart w:id="93" w:name="_Toc24109"/>
      <w:bookmarkStart w:id="94" w:name="_Toc3200"/>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2"/>
      <w:bookmarkEnd w:id="93"/>
      <w:bookmarkEnd w:id="9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5" w:name="_Toc29590"/>
      <w:bookmarkStart w:id="96" w:name="_Toc382049111"/>
      <w:bookmarkStart w:id="97" w:name="_Toc23678"/>
      <w:bookmarkStart w:id="98" w:name="_Toc24997"/>
      <w:bookmarkStart w:id="99" w:name="_Toc473"/>
      <w:bookmarkStart w:id="100" w:name="_Toc303084264"/>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5"/>
      <w:bookmarkEnd w:id="96"/>
      <w:bookmarkEnd w:id="97"/>
      <w:bookmarkEnd w:id="98"/>
      <w:bookmarkEnd w:id="99"/>
      <w:bookmarkEnd w:id="10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1" w:name="_Toc17417"/>
      <w:bookmarkStart w:id="102" w:name="_Toc7473"/>
      <w:bookmarkStart w:id="103" w:name="_Toc8628"/>
      <w:r>
        <w:rPr>
          <w:rFonts w:hint="eastAsia" w:ascii="宋体" w:hAnsi="宋体" w:eastAsia="宋体"/>
          <w:color w:val="auto"/>
          <w:sz w:val="21"/>
          <w:szCs w:val="21"/>
          <w:highlight w:val="none"/>
        </w:rPr>
        <w:t>18.迟交的投标文件</w:t>
      </w:r>
      <w:bookmarkEnd w:id="101"/>
      <w:bookmarkEnd w:id="102"/>
      <w:bookmarkEnd w:id="10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4" w:name="_Toc13212"/>
      <w:bookmarkStart w:id="105" w:name="_Toc19649"/>
      <w:bookmarkStart w:id="106" w:name="_Toc8526"/>
      <w:r>
        <w:rPr>
          <w:rFonts w:hint="eastAsia" w:ascii="宋体" w:hAnsi="宋体" w:eastAsia="宋体"/>
          <w:color w:val="auto"/>
          <w:sz w:val="21"/>
          <w:szCs w:val="21"/>
          <w:highlight w:val="none"/>
        </w:rPr>
        <w:t>19.投标样品（如需提交）</w:t>
      </w:r>
      <w:bookmarkEnd w:id="104"/>
      <w:bookmarkEnd w:id="105"/>
      <w:bookmarkEnd w:id="10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7" w:name="_Toc303084265"/>
      <w:bookmarkStart w:id="108" w:name="_Toc5900"/>
      <w:bookmarkStart w:id="109" w:name="_Toc23477"/>
      <w:bookmarkStart w:id="110" w:name="_Toc382049112"/>
      <w:bookmarkStart w:id="111" w:name="_Toc9777"/>
      <w:bookmarkStart w:id="112" w:name="_Toc7689"/>
      <w:r>
        <w:rPr>
          <w:rFonts w:hint="eastAsia" w:ascii="宋体" w:hAnsi="宋体" w:eastAsia="宋体"/>
          <w:color w:val="auto"/>
          <w:sz w:val="21"/>
          <w:szCs w:val="21"/>
          <w:highlight w:val="none"/>
        </w:rPr>
        <w:t>20.投标截止期</w:t>
      </w:r>
      <w:bookmarkEnd w:id="107"/>
      <w:bookmarkEnd w:id="108"/>
      <w:bookmarkEnd w:id="109"/>
      <w:bookmarkEnd w:id="110"/>
      <w:bookmarkEnd w:id="111"/>
      <w:bookmarkEnd w:id="11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3" w:name="_Toc15569"/>
      <w:bookmarkStart w:id="114" w:name="_Toc6003"/>
      <w:bookmarkStart w:id="115" w:name="_Toc11133"/>
      <w:r>
        <w:rPr>
          <w:rFonts w:hint="eastAsia" w:ascii="宋体" w:hAnsi="宋体" w:eastAsia="宋体"/>
          <w:color w:val="auto"/>
          <w:sz w:val="21"/>
          <w:szCs w:val="21"/>
          <w:highlight w:val="none"/>
        </w:rPr>
        <w:t>21.投标文件的补充、修改与撤回</w:t>
      </w:r>
      <w:bookmarkEnd w:id="113"/>
      <w:bookmarkEnd w:id="114"/>
      <w:bookmarkEnd w:id="11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6" w:name="_Toc29574"/>
      <w:bookmarkStart w:id="117" w:name="_Toc23466"/>
      <w:bookmarkStart w:id="118" w:name="_Toc5049"/>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6"/>
      <w:bookmarkEnd w:id="117"/>
      <w:bookmarkEnd w:id="118"/>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9" w:name="_Toc24251"/>
      <w:bookmarkStart w:id="120" w:name="_Toc27700"/>
      <w:bookmarkStart w:id="121" w:name="_Toc28458"/>
      <w:r>
        <w:rPr>
          <w:rFonts w:hint="eastAsia" w:ascii="宋体" w:hAnsi="宋体" w:eastAsia="宋体"/>
          <w:color w:val="auto"/>
          <w:sz w:val="21"/>
          <w:szCs w:val="21"/>
          <w:highlight w:val="none"/>
        </w:rPr>
        <w:t>22.开标</w:t>
      </w:r>
      <w:bookmarkEnd w:id="119"/>
      <w:bookmarkEnd w:id="120"/>
      <w:bookmarkEnd w:id="12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2" w:name="_Toc4921"/>
      <w:bookmarkStart w:id="123" w:name="_Toc5974"/>
      <w:bookmarkStart w:id="124" w:name="_Toc5524"/>
      <w:r>
        <w:rPr>
          <w:rFonts w:hint="eastAsia" w:ascii="宋体" w:hAnsi="宋体" w:eastAsia="宋体"/>
          <w:color w:val="auto"/>
          <w:sz w:val="21"/>
          <w:szCs w:val="21"/>
          <w:highlight w:val="none"/>
        </w:rPr>
        <w:t>23.评标委员会及评标方法</w:t>
      </w:r>
      <w:bookmarkEnd w:id="122"/>
      <w:bookmarkEnd w:id="123"/>
      <w:bookmarkEnd w:id="12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5" w:name="_Toc26402"/>
      <w:bookmarkStart w:id="126" w:name="_Toc15231"/>
      <w:bookmarkStart w:id="127" w:name="_Toc32730"/>
      <w:r>
        <w:rPr>
          <w:rFonts w:hint="eastAsia" w:ascii="宋体" w:hAnsi="宋体" w:eastAsia="宋体"/>
          <w:color w:val="auto"/>
          <w:sz w:val="21"/>
          <w:szCs w:val="21"/>
          <w:highlight w:val="none"/>
        </w:rPr>
        <w:t>24.评审原则及评标过程的保密</w:t>
      </w:r>
      <w:bookmarkEnd w:id="125"/>
      <w:bookmarkEnd w:id="126"/>
      <w:bookmarkEnd w:id="127"/>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8" w:name="_Toc3762"/>
      <w:bookmarkStart w:id="129" w:name="_Toc16745"/>
      <w:bookmarkStart w:id="130" w:name="_Toc18436"/>
      <w:r>
        <w:rPr>
          <w:rFonts w:hint="eastAsia" w:ascii="宋体" w:hAnsi="宋体" w:eastAsia="宋体"/>
          <w:color w:val="auto"/>
          <w:sz w:val="21"/>
          <w:szCs w:val="21"/>
          <w:highlight w:val="none"/>
        </w:rPr>
        <w:t>25.投标文件的初审</w:t>
      </w:r>
      <w:bookmarkEnd w:id="128"/>
      <w:bookmarkEnd w:id="129"/>
      <w:bookmarkEnd w:id="13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1" w:name="_Toc21742"/>
      <w:bookmarkStart w:id="132" w:name="_Toc29184"/>
      <w:bookmarkStart w:id="133" w:name="_Toc27673"/>
      <w:r>
        <w:rPr>
          <w:rFonts w:hint="eastAsia" w:ascii="宋体" w:hAnsi="宋体" w:eastAsia="宋体"/>
          <w:color w:val="auto"/>
          <w:sz w:val="21"/>
          <w:szCs w:val="21"/>
          <w:highlight w:val="none"/>
        </w:rPr>
        <w:t>26.商务、技术、价格评审（具体评审项目详见投标资料表）</w:t>
      </w:r>
      <w:bookmarkEnd w:id="131"/>
      <w:bookmarkEnd w:id="132"/>
      <w:bookmarkEnd w:id="133"/>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4" w:name="_Toc7593"/>
      <w:bookmarkStart w:id="135" w:name="_Toc22192"/>
      <w:bookmarkStart w:id="136" w:name="_Toc17683"/>
      <w:r>
        <w:rPr>
          <w:rFonts w:hint="eastAsia" w:ascii="宋体" w:hAnsi="宋体" w:eastAsia="宋体"/>
          <w:color w:val="auto"/>
          <w:sz w:val="21"/>
          <w:szCs w:val="21"/>
          <w:highlight w:val="none"/>
        </w:rPr>
        <w:t>27.优惠政策</w:t>
      </w:r>
      <w:bookmarkEnd w:id="134"/>
      <w:bookmarkEnd w:id="135"/>
      <w:bookmarkEnd w:id="13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7" w:name="_Toc316375620"/>
      <w:bookmarkStart w:id="138" w:name="_Toc31141"/>
      <w:bookmarkStart w:id="139" w:name="_Toc22591"/>
      <w:bookmarkStart w:id="140" w:name="_Toc20328"/>
      <w:bookmarkStart w:id="141" w:name="_Toc382049120"/>
      <w:bookmarkStart w:id="142" w:name="_Toc12115"/>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7"/>
      <w:r>
        <w:rPr>
          <w:rFonts w:hint="eastAsia" w:ascii="宋体" w:hAnsi="宋体" w:eastAsia="宋体"/>
          <w:color w:val="auto"/>
          <w:sz w:val="21"/>
          <w:szCs w:val="21"/>
          <w:highlight w:val="none"/>
        </w:rPr>
        <w:t>事项</w:t>
      </w:r>
      <w:bookmarkEnd w:id="138"/>
      <w:bookmarkEnd w:id="139"/>
      <w:bookmarkEnd w:id="140"/>
      <w:bookmarkEnd w:id="141"/>
      <w:bookmarkEnd w:id="14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43" w:name="_Toc5528"/>
      <w:bookmarkStart w:id="144" w:name="_Toc29310"/>
      <w:bookmarkStart w:id="145" w:name="_Toc12251"/>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3"/>
      <w:bookmarkEnd w:id="144"/>
      <w:bookmarkEnd w:id="145"/>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17778"/>
      <w:bookmarkStart w:id="147" w:name="_Toc6696"/>
      <w:bookmarkStart w:id="148" w:name="_Toc508284011"/>
      <w:bookmarkStart w:id="149" w:name="_Toc27817"/>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6"/>
      <w:bookmarkEnd w:id="147"/>
      <w:bookmarkEnd w:id="148"/>
      <w:bookmarkEnd w:id="14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3136"/>
      <w:bookmarkStart w:id="151" w:name="_Toc12440"/>
      <w:bookmarkStart w:id="152" w:name="_Toc508284013"/>
      <w:bookmarkStart w:id="153" w:name="_Toc29283"/>
      <w:r>
        <w:rPr>
          <w:rFonts w:hint="eastAsia" w:ascii="宋体" w:hAnsi="宋体" w:eastAsia="宋体"/>
          <w:color w:val="auto"/>
          <w:sz w:val="21"/>
          <w:szCs w:val="21"/>
          <w:highlight w:val="none"/>
        </w:rPr>
        <w:t>30.发布采购结果</w:t>
      </w:r>
      <w:bookmarkEnd w:id="150"/>
      <w:bookmarkEnd w:id="151"/>
      <w:bookmarkEnd w:id="152"/>
      <w:bookmarkEnd w:id="153"/>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4" w:name="_Toc22262"/>
      <w:bookmarkStart w:id="155" w:name="_Toc22451"/>
      <w:bookmarkStart w:id="156" w:name="_Toc27279"/>
      <w:r>
        <w:rPr>
          <w:rFonts w:hint="eastAsia" w:ascii="宋体" w:hAnsi="宋体" w:eastAsia="宋体"/>
          <w:color w:val="auto"/>
          <w:sz w:val="21"/>
          <w:szCs w:val="21"/>
          <w:highlight w:val="none"/>
        </w:rPr>
        <w:t>31.合同的签订与履行</w:t>
      </w:r>
      <w:bookmarkEnd w:id="154"/>
      <w:bookmarkEnd w:id="155"/>
      <w:bookmarkEnd w:id="15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7" w:name="_Toc25756"/>
      <w:bookmarkStart w:id="158" w:name="_Toc29009"/>
      <w:bookmarkStart w:id="159" w:name="_Toc303084277"/>
      <w:bookmarkStart w:id="160" w:name="_Toc382049124"/>
      <w:bookmarkStart w:id="161" w:name="_Toc7405"/>
      <w:bookmarkStart w:id="162" w:name="_Toc2744"/>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7"/>
      <w:bookmarkEnd w:id="158"/>
      <w:bookmarkEnd w:id="159"/>
      <w:bookmarkEnd w:id="160"/>
      <w:bookmarkEnd w:id="161"/>
      <w:bookmarkEnd w:id="16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3" w:name="_Toc20699"/>
      <w:bookmarkStart w:id="164" w:name="_Toc13694"/>
      <w:bookmarkStart w:id="165" w:name="_Toc7360"/>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3"/>
      <w:bookmarkEnd w:id="164"/>
      <w:bookmarkEnd w:id="165"/>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6" w:name="_Toc22900"/>
      <w:bookmarkStart w:id="167" w:name="_Toc17974"/>
      <w:bookmarkStart w:id="168" w:name="_Toc25498"/>
      <w:r>
        <w:rPr>
          <w:rFonts w:hint="eastAsia" w:ascii="宋体" w:hAnsi="宋体" w:eastAsia="宋体"/>
          <w:color w:val="auto"/>
          <w:sz w:val="21"/>
          <w:szCs w:val="21"/>
          <w:highlight w:val="none"/>
        </w:rPr>
        <w:t>33.询问</w:t>
      </w:r>
      <w:bookmarkEnd w:id="166"/>
      <w:bookmarkEnd w:id="167"/>
      <w:bookmarkEnd w:id="16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9" w:name="_Toc2767"/>
      <w:bookmarkStart w:id="170" w:name="_Toc11264"/>
      <w:bookmarkStart w:id="171" w:name="_Toc8234"/>
      <w:r>
        <w:rPr>
          <w:rFonts w:hint="eastAsia" w:ascii="宋体" w:hAnsi="宋体" w:eastAsia="宋体"/>
          <w:color w:val="auto"/>
          <w:sz w:val="21"/>
          <w:szCs w:val="21"/>
          <w:highlight w:val="none"/>
        </w:rPr>
        <w:t>34.质疑</w:t>
      </w:r>
      <w:bookmarkEnd w:id="169"/>
      <w:bookmarkEnd w:id="170"/>
      <w:bookmarkEnd w:id="17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72" w:name="_Toc5690"/>
      <w:bookmarkStart w:id="173" w:name="_Toc24383"/>
      <w:bookmarkStart w:id="174"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2"/>
      <w:bookmarkEnd w:id="173"/>
      <w:bookmarkEnd w:id="17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5" w:name="_Toc10082"/>
      <w:bookmarkStart w:id="176" w:name="_Toc6548"/>
      <w:bookmarkStart w:id="177" w:name="_Toc21187"/>
      <w:r>
        <w:rPr>
          <w:rFonts w:hint="eastAsia" w:ascii="宋体" w:hAnsi="宋体" w:eastAsia="宋体"/>
          <w:color w:val="auto"/>
          <w:sz w:val="21"/>
          <w:szCs w:val="21"/>
          <w:highlight w:val="none"/>
        </w:rPr>
        <w:t>35.招标文件的解释权</w:t>
      </w:r>
      <w:bookmarkEnd w:id="175"/>
      <w:bookmarkEnd w:id="176"/>
      <w:bookmarkEnd w:id="17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1"/>
    <w:p>
      <w:pPr>
        <w:jc w:val="center"/>
        <w:rPr>
          <w:color w:val="auto"/>
          <w:highlight w:val="none"/>
        </w:rPr>
      </w:pPr>
      <w:r>
        <w:rPr>
          <w:rFonts w:hint="eastAsia"/>
          <w:color w:val="auto"/>
          <w:highlight w:val="none"/>
        </w:rPr>
        <w:br w:type="page"/>
      </w:r>
    </w:p>
    <w:p>
      <w:pPr>
        <w:pStyle w:val="3"/>
        <w:spacing w:before="0" w:after="0" w:line="240" w:lineRule="auto"/>
        <w:rPr>
          <w:rFonts w:hint="eastAsia"/>
          <w:color w:val="auto"/>
          <w:sz w:val="28"/>
          <w:szCs w:val="28"/>
          <w:highlight w:val="none"/>
        </w:rPr>
      </w:pPr>
      <w:bookmarkStart w:id="178" w:name="_Toc7011"/>
      <w:bookmarkStart w:id="179" w:name="_Toc31854"/>
      <w:bookmarkStart w:id="180"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8"/>
      <w:bookmarkEnd w:id="179"/>
      <w:bookmarkEnd w:id="180"/>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1" w:name="_Toc1593"/>
      <w:r>
        <w:rPr>
          <w:rFonts w:hint="eastAsia" w:ascii="宋体" w:hAnsi="宋体"/>
          <w:color w:val="auto"/>
          <w:highlight w:val="none"/>
          <w:lang w:val="en-US" w:eastAsia="zh-CN"/>
        </w:rPr>
        <w:t>第一章 商务需求书</w:t>
      </w:r>
      <w:bookmarkEnd w:id="181"/>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1328"/>
        <w:gridCol w:w="64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序号</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条款名称</w:t>
            </w:r>
          </w:p>
        </w:tc>
        <w:tc>
          <w:tcPr>
            <w:tcW w:w="6477" w:type="dxa"/>
            <w:noWrap w:val="0"/>
            <w:vAlign w:val="center"/>
          </w:tcPr>
          <w:p>
            <w:pPr>
              <w:spacing w:line="340" w:lineRule="exact"/>
              <w:jc w:val="center"/>
              <w:rPr>
                <w:rFonts w:ascii="宋体" w:hAnsi="宋体"/>
                <w:color w:val="auto"/>
                <w:sz w:val="22"/>
                <w:szCs w:val="22"/>
                <w:highlight w:val="none"/>
              </w:rPr>
            </w:pPr>
            <w:r>
              <w:rPr>
                <w:rFonts w:ascii="宋体" w:hAnsi="宋体"/>
                <w:color w:val="auto"/>
                <w:sz w:val="22"/>
                <w:szCs w:val="22"/>
                <w:highlight w:val="none"/>
              </w:rPr>
              <w:t>说</w:t>
            </w:r>
            <w:r>
              <w:rPr>
                <w:rFonts w:hint="eastAsia" w:ascii="宋体" w:hAnsi="宋体"/>
                <w:color w:val="auto"/>
                <w:sz w:val="22"/>
                <w:szCs w:val="22"/>
                <w:highlight w:val="none"/>
              </w:rPr>
              <w:t xml:space="preserve">  </w:t>
            </w:r>
            <w:r>
              <w:rPr>
                <w:rFonts w:ascii="宋体" w:hAnsi="宋体"/>
                <w:color w:val="auto"/>
                <w:sz w:val="22"/>
                <w:szCs w:val="22"/>
                <w:highlight w:val="none"/>
              </w:rPr>
              <w:t>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0" w:hRule="atLeast"/>
        </w:trPr>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1</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投标人资格要求</w:t>
            </w:r>
          </w:p>
        </w:tc>
        <w:tc>
          <w:tcPr>
            <w:tcW w:w="6477" w:type="dxa"/>
            <w:noWrap w:val="0"/>
            <w:vAlign w:val="center"/>
          </w:tcPr>
          <w:p>
            <w:pPr>
              <w:pStyle w:val="35"/>
              <w:spacing w:line="340" w:lineRule="exact"/>
              <w:ind w:left="227" w:hanging="216" w:hangingChars="103"/>
              <w:rPr>
                <w:rFonts w:hint="eastAsia"/>
                <w:color w:val="auto"/>
                <w:sz w:val="22"/>
                <w:szCs w:val="22"/>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r>
              <w:rPr>
                <w:rFonts w:hint="eastAsia" w:asci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0" w:hRule="atLeast"/>
        </w:trPr>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2</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完成期</w:t>
            </w:r>
          </w:p>
        </w:tc>
        <w:tc>
          <w:tcPr>
            <w:tcW w:w="6477" w:type="dxa"/>
            <w:noWrap w:val="0"/>
            <w:vAlign w:val="center"/>
          </w:tcPr>
          <w:p>
            <w:pPr>
              <w:spacing w:line="340" w:lineRule="exact"/>
              <w:rPr>
                <w:rFonts w:hint="eastAsia" w:ascii="宋体" w:hAnsi="宋体"/>
                <w:color w:val="auto"/>
                <w:sz w:val="22"/>
                <w:szCs w:val="22"/>
                <w:highlight w:val="none"/>
              </w:rPr>
            </w:pPr>
            <w:r>
              <w:rPr>
                <w:rFonts w:hint="eastAsia" w:ascii="宋体" w:hAnsi="宋体"/>
                <w:color w:val="auto"/>
                <w:sz w:val="22"/>
                <w:szCs w:val="22"/>
                <w:highlight w:val="none"/>
              </w:rPr>
              <w:t>本项目完成期为100天，自合同签订之日起60天内完成初稿，完成初稿后20天内完成报告送审稿编制工作，专家评审及采购人验收后20天完成报告报批稿。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3</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服务地点</w:t>
            </w:r>
          </w:p>
        </w:tc>
        <w:tc>
          <w:tcPr>
            <w:tcW w:w="6477" w:type="dxa"/>
            <w:noWrap w:val="0"/>
            <w:vAlign w:val="center"/>
          </w:tcPr>
          <w:p>
            <w:pPr>
              <w:spacing w:line="340" w:lineRule="exact"/>
              <w:rPr>
                <w:rFonts w:hint="eastAsia" w:ascii="宋体" w:hAnsi="宋体"/>
                <w:color w:val="auto"/>
                <w:sz w:val="22"/>
                <w:szCs w:val="22"/>
                <w:highlight w:val="none"/>
              </w:rPr>
            </w:pPr>
            <w:r>
              <w:rPr>
                <w:rFonts w:hint="eastAsia" w:ascii="宋体" w:hAnsi="宋体"/>
                <w:color w:val="auto"/>
                <w:sz w:val="22"/>
                <w:szCs w:val="22"/>
                <w:highlight w:val="none"/>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915" w:hRule="atLeast"/>
        </w:trPr>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4</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付款</w:t>
            </w:r>
          </w:p>
        </w:tc>
        <w:tc>
          <w:tcPr>
            <w:tcW w:w="6477" w:type="dxa"/>
            <w:noWrap w:val="0"/>
            <w:vAlign w:val="center"/>
          </w:tcPr>
          <w:p>
            <w:pPr>
              <w:pStyle w:val="35"/>
              <w:spacing w:line="340" w:lineRule="exact"/>
              <w:ind w:left="227" w:hanging="226" w:hangingChars="103"/>
              <w:rPr>
                <w:rFonts w:hint="eastAsia" w:ascii="宋体" w:eastAsia="宋体"/>
                <w:color w:val="auto"/>
                <w:sz w:val="22"/>
                <w:szCs w:val="22"/>
                <w:highlight w:val="none"/>
              </w:rPr>
            </w:pPr>
            <w:r>
              <w:rPr>
                <w:rFonts w:hint="eastAsia" w:ascii="宋体" w:eastAsia="宋体"/>
                <w:color w:val="auto"/>
                <w:sz w:val="22"/>
                <w:szCs w:val="22"/>
                <w:highlight w:val="none"/>
              </w:rPr>
              <w:t>①第一次付款：签订合同后，提交报告送审稿后，提交请款报告30天内，支付至合同价的60％；</w:t>
            </w:r>
          </w:p>
          <w:p>
            <w:pPr>
              <w:pStyle w:val="35"/>
              <w:spacing w:line="340" w:lineRule="exact"/>
              <w:ind w:left="227" w:hanging="226" w:hangingChars="103"/>
              <w:rPr>
                <w:rFonts w:hint="eastAsia" w:ascii="宋体"/>
                <w:color w:val="auto"/>
                <w:sz w:val="22"/>
                <w:szCs w:val="22"/>
                <w:highlight w:val="none"/>
              </w:rPr>
            </w:pPr>
            <w:r>
              <w:rPr>
                <w:rFonts w:hint="eastAsia" w:ascii="宋体" w:eastAsia="宋体"/>
                <w:color w:val="auto"/>
                <w:sz w:val="22"/>
                <w:szCs w:val="22"/>
                <w:highlight w:val="none"/>
              </w:rPr>
              <w:t>②第二次付款：通过专家评审并提交报告报批稿后，提交请款报告30天内，支付至合同价的100%。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5" w:hRule="atLeast"/>
        </w:trPr>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5</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报价内容</w:t>
            </w:r>
          </w:p>
        </w:tc>
        <w:tc>
          <w:tcPr>
            <w:tcW w:w="6477" w:type="dxa"/>
            <w:noWrap w:val="0"/>
            <w:vAlign w:val="center"/>
          </w:tcPr>
          <w:p>
            <w:pPr>
              <w:spacing w:line="340" w:lineRule="exact"/>
              <w:ind w:right="23"/>
              <w:rPr>
                <w:rFonts w:hint="eastAsia" w:hAnsi="宋体"/>
                <w:bCs/>
                <w:color w:val="auto"/>
                <w:sz w:val="22"/>
                <w:szCs w:val="22"/>
                <w:highlight w:val="none"/>
              </w:rPr>
            </w:pPr>
            <w:r>
              <w:rPr>
                <w:rFonts w:hint="eastAsia" w:hAnsi="宋体"/>
                <w:bCs/>
                <w:color w:val="auto"/>
                <w:sz w:val="22"/>
                <w:szCs w:val="22"/>
                <w:highlight w:val="none"/>
              </w:rPr>
              <w:t>报价应包含完成本次招标所有服务内容的费用，包括人工费、材料费、设备使用费、各种税务费、必须的辅助材料费及合同实施过程中不可预见费用等全部费用。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5" w:hRule="atLeast"/>
        </w:trPr>
        <w:tc>
          <w:tcPr>
            <w:tcW w:w="717"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6</w:t>
            </w:r>
          </w:p>
        </w:tc>
        <w:tc>
          <w:tcPr>
            <w:tcW w:w="1328" w:type="dxa"/>
            <w:noWrap w:val="0"/>
            <w:vAlign w:val="center"/>
          </w:tcPr>
          <w:p>
            <w:pPr>
              <w:spacing w:line="340" w:lineRule="exact"/>
              <w:jc w:val="center"/>
              <w:rPr>
                <w:rFonts w:hint="eastAsia" w:ascii="宋体" w:hAnsi="宋体"/>
                <w:color w:val="auto"/>
                <w:sz w:val="22"/>
                <w:szCs w:val="22"/>
                <w:highlight w:val="none"/>
              </w:rPr>
            </w:pPr>
            <w:r>
              <w:rPr>
                <w:rFonts w:hint="eastAsia" w:ascii="宋体" w:hAnsi="宋体"/>
                <w:color w:val="auto"/>
                <w:sz w:val="22"/>
                <w:szCs w:val="22"/>
                <w:highlight w:val="none"/>
              </w:rPr>
              <w:t>合同条款</w:t>
            </w:r>
          </w:p>
        </w:tc>
        <w:tc>
          <w:tcPr>
            <w:tcW w:w="6477" w:type="dxa"/>
            <w:noWrap w:val="0"/>
            <w:vAlign w:val="center"/>
          </w:tcPr>
          <w:p>
            <w:pPr>
              <w:spacing w:line="340" w:lineRule="exact"/>
              <w:rPr>
                <w:rFonts w:hint="eastAsia" w:ascii="宋体" w:hAnsi="宋体"/>
                <w:color w:val="auto"/>
                <w:sz w:val="22"/>
                <w:szCs w:val="22"/>
                <w:highlight w:val="none"/>
              </w:rPr>
            </w:pPr>
            <w:r>
              <w:rPr>
                <w:rFonts w:hint="eastAsia" w:ascii="宋体" w:hAnsi="宋体"/>
                <w:color w:val="auto"/>
                <w:sz w:val="22"/>
                <w:szCs w:val="22"/>
                <w:highlight w:val="none"/>
              </w:rPr>
              <w:t>投标人实质响应合同条款。</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pStyle w:val="8"/>
        <w:rPr>
          <w:rFonts w:hint="eastAsia"/>
          <w:color w:val="auto"/>
          <w:highlight w:val="none"/>
          <w:lang w:val="en-US" w:eastAsia="zh-CN"/>
        </w:rPr>
      </w:pPr>
    </w:p>
    <w:p>
      <w:pPr>
        <w:pStyle w:val="8"/>
        <w:rPr>
          <w:rFonts w:hint="eastAsia"/>
          <w:color w:val="auto"/>
          <w:highlight w:val="none"/>
          <w:lang w:val="en-US" w:eastAsia="zh-CN"/>
        </w:rPr>
      </w:pPr>
    </w:p>
    <w:p>
      <w:pPr>
        <w:pStyle w:val="8"/>
        <w:rPr>
          <w:rFonts w:hint="eastAsia"/>
          <w:color w:val="auto"/>
          <w:highlight w:val="none"/>
          <w:lang w:val="en-US" w:eastAsia="zh-CN"/>
        </w:rPr>
      </w:pPr>
    </w:p>
    <w:p>
      <w:pPr>
        <w:pStyle w:val="8"/>
        <w:rPr>
          <w:rFonts w:hint="eastAsia"/>
          <w:color w:val="auto"/>
          <w:highlight w:val="none"/>
          <w:lang w:val="en-US" w:eastAsia="zh-CN"/>
        </w:rPr>
      </w:pPr>
    </w:p>
    <w:p>
      <w:pPr>
        <w:pStyle w:val="8"/>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82" w:name="_Toc19316"/>
      <w:r>
        <w:rPr>
          <w:rFonts w:hint="eastAsia" w:ascii="宋体" w:hAnsi="宋体"/>
          <w:color w:val="auto"/>
          <w:highlight w:val="none"/>
          <w:lang w:val="en-US" w:eastAsia="zh-CN"/>
        </w:rPr>
        <w:t>第二章 技术需求书</w:t>
      </w:r>
      <w:bookmarkEnd w:id="182"/>
    </w:p>
    <w:p>
      <w:pPr>
        <w:pStyle w:val="5"/>
        <w:bidi w:val="0"/>
        <w:rPr>
          <w:rFonts w:hint="eastAsia"/>
          <w:color w:val="auto"/>
          <w:highlight w:val="none"/>
        </w:rPr>
      </w:pPr>
      <w:bookmarkStart w:id="183" w:name="_Toc24679"/>
      <w:bookmarkStart w:id="184" w:name="_Toc13112"/>
      <w:bookmarkStart w:id="185" w:name="_Toc14462"/>
      <w:bookmarkStart w:id="186" w:name="_Toc31278"/>
      <w:r>
        <w:rPr>
          <w:rFonts w:hint="eastAsia"/>
          <w:color w:val="auto"/>
          <w:highlight w:val="none"/>
        </w:rPr>
        <w:t>一、项目概述</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清溪镇位于广东省东莞市东南部，是东莞、惠州、深圳三市的交汇点，东邻深圳及惠州，距深圳38km，距惠州市50km，南接凤岗镇，西连塘厦镇，北毗樟木头镇。清溪镇下辖20个村委会，1个社区，总面积140.1km</w:t>
      </w:r>
      <w:r>
        <w:rPr>
          <w:rFonts w:hint="eastAsia" w:ascii="宋体" w:hAnsi="宋体" w:eastAsia="宋体" w:cs="宋体"/>
          <w:snapToGrid w:val="0"/>
          <w:color w:val="auto"/>
          <w:kern w:val="0"/>
          <w:sz w:val="21"/>
          <w:szCs w:val="21"/>
          <w:highlight w:val="none"/>
          <w:vertAlign w:val="superscript"/>
        </w:rPr>
        <w:t>2</w:t>
      </w:r>
      <w:r>
        <w:rPr>
          <w:rFonts w:hint="eastAsia" w:ascii="宋体" w:hAnsi="宋体" w:eastAsia="宋体" w:cs="宋体"/>
          <w:snapToGrid w:val="0"/>
          <w:color w:val="auto"/>
          <w:kern w:val="0"/>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根据水利部办公厅办运管[2020]40号文</w:t>
      </w:r>
      <w:r>
        <w:rPr>
          <w:rFonts w:hint="eastAsia" w:ascii="宋体" w:hAnsi="宋体" w:eastAsia="宋体" w:cs="宋体"/>
          <w:bCs/>
          <w:color w:val="auto"/>
          <w:sz w:val="21"/>
          <w:szCs w:val="21"/>
          <w:highlight w:val="none"/>
        </w:rPr>
        <w:t>《水利部办公厅关于加强水库大坝安全鉴定和降等报废工作的通知》，</w:t>
      </w:r>
      <w:r>
        <w:rPr>
          <w:rFonts w:hint="eastAsia" w:ascii="宋体" w:hAnsi="宋体" w:eastAsia="宋体" w:cs="宋体"/>
          <w:color w:val="auto"/>
          <w:sz w:val="21"/>
          <w:szCs w:val="21"/>
          <w:highlight w:val="none"/>
        </w:rPr>
        <w:t>按照“水利工程补短板、水利行业强监管”水利改革发展总基调要求，为准确掌握水库大坝安全状况，及时化解安全风险，对水库规模减小、淤积严重、功能萎缩或丧失、病险严重且除险加固技术上不可行或者经济上不合理的水库，要优先实施降等与报废处置。根据《中华人民共和国水法》、《中华人民共和国防洪法》、《中华人民共和国防汛条例》、《</w:t>
      </w:r>
      <w:r>
        <w:rPr>
          <w:rFonts w:hint="eastAsia" w:ascii="宋体" w:hAnsi="宋体" w:eastAsia="宋体" w:cs="宋体"/>
          <w:snapToGrid w:val="0"/>
          <w:color w:val="auto"/>
          <w:kern w:val="0"/>
          <w:sz w:val="21"/>
          <w:szCs w:val="21"/>
          <w:highlight w:val="none"/>
        </w:rPr>
        <w:t>广东省水利工程管理条例</w:t>
      </w:r>
      <w:r>
        <w:rPr>
          <w:rFonts w:hint="eastAsia" w:ascii="宋体" w:hAnsi="宋体" w:eastAsia="宋体" w:cs="宋体"/>
          <w:color w:val="auto"/>
          <w:sz w:val="21"/>
          <w:szCs w:val="21"/>
          <w:highlight w:val="none"/>
        </w:rPr>
        <w:t>》、《水库降等与报废管理办法》等法律法规，编制水库特征水位调整论证报告、水库安全鉴定报告（修编）、水库汛期调度运用规程（修编）、水库调度规程、水库降等论证报告，并对楼仔水库、骆坑水库、龙眼坑水库溢洪道断面进行重新测量。</w:t>
      </w:r>
    </w:p>
    <w:p>
      <w:pPr>
        <w:bidi w:val="0"/>
        <w:rPr>
          <w:rFonts w:hint="eastAsia"/>
          <w:color w:val="auto"/>
          <w:highlight w:val="none"/>
        </w:rPr>
      </w:pPr>
    </w:p>
    <w:p>
      <w:pPr>
        <w:pStyle w:val="5"/>
        <w:bidi w:val="0"/>
        <w:rPr>
          <w:rFonts w:hint="eastAsia" w:eastAsia="宋体"/>
          <w:color w:val="auto"/>
          <w:highlight w:val="none"/>
        </w:rPr>
      </w:pPr>
      <w:r>
        <w:rPr>
          <w:rFonts w:hint="eastAsia" w:eastAsia="宋体"/>
          <w:color w:val="auto"/>
          <w:highlight w:val="none"/>
        </w:rPr>
        <w:t>二、本次工作内容</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本项目编制范围包括清溪镇楼仔水库、骆坑水库、龙眼坑水库、冷水坑水库、黄泥坑水库，5座水库。本次工程内容包括：</w:t>
      </w:r>
      <w:r>
        <w:rPr>
          <w:rFonts w:hint="eastAsia" w:ascii="宋体" w:hAnsi="宋体" w:eastAsia="宋体" w:cs="宋体"/>
          <w:color w:val="auto"/>
          <w:sz w:val="21"/>
          <w:szCs w:val="21"/>
          <w:highlight w:val="none"/>
        </w:rPr>
        <w:t>编制水库特征水位调整论证报告、水库安全鉴定报告（修编）、水库汛期调度运用规程（修编）、水库调度规程、水库降等论证报告，并对楼仔水库、骆坑水库、龙眼坑水库溢洪道断面进行重新测量。</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具体编制范围见下表。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902"/>
        <w:gridCol w:w="1245"/>
        <w:gridCol w:w="1050"/>
        <w:gridCol w:w="3076"/>
        <w:gridCol w:w="866"/>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序号</w:t>
            </w:r>
          </w:p>
        </w:tc>
        <w:tc>
          <w:tcPr>
            <w:tcW w:w="52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水库名称</w:t>
            </w:r>
          </w:p>
        </w:tc>
        <w:tc>
          <w:tcPr>
            <w:tcW w:w="73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水库规模</w:t>
            </w:r>
          </w:p>
        </w:tc>
        <w:tc>
          <w:tcPr>
            <w:tcW w:w="61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安全鉴定</w:t>
            </w:r>
          </w:p>
        </w:tc>
        <w:tc>
          <w:tcPr>
            <w:tcW w:w="18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降等原因</w:t>
            </w:r>
          </w:p>
        </w:tc>
        <w:tc>
          <w:tcPr>
            <w:tcW w:w="50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原设计标准</w:t>
            </w:r>
          </w:p>
        </w:tc>
        <w:tc>
          <w:tcPr>
            <w:tcW w:w="51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原校核标准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w:t>
            </w:r>
          </w:p>
        </w:tc>
        <w:tc>
          <w:tcPr>
            <w:tcW w:w="52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楼仔水库</w:t>
            </w:r>
          </w:p>
        </w:tc>
        <w:tc>
          <w:tcPr>
            <w:tcW w:w="73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小（2）型</w:t>
            </w:r>
          </w:p>
        </w:tc>
        <w:tc>
          <w:tcPr>
            <w:tcW w:w="61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二类坝</w:t>
            </w:r>
          </w:p>
        </w:tc>
        <w:tc>
          <w:tcPr>
            <w:tcW w:w="18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原设计的防洪、灌溉等功能需求降低。</w:t>
            </w:r>
          </w:p>
        </w:tc>
        <w:tc>
          <w:tcPr>
            <w:tcW w:w="50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20</w:t>
            </w:r>
          </w:p>
        </w:tc>
        <w:tc>
          <w:tcPr>
            <w:tcW w:w="51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w:t>
            </w:r>
          </w:p>
        </w:tc>
        <w:tc>
          <w:tcPr>
            <w:tcW w:w="52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骆坑水库</w:t>
            </w:r>
          </w:p>
        </w:tc>
        <w:tc>
          <w:tcPr>
            <w:tcW w:w="73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小（2）型</w:t>
            </w:r>
          </w:p>
        </w:tc>
        <w:tc>
          <w:tcPr>
            <w:tcW w:w="61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二类坝</w:t>
            </w:r>
          </w:p>
        </w:tc>
        <w:tc>
          <w:tcPr>
            <w:tcW w:w="18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①水库死库容为0万m</w:t>
            </w:r>
            <w:r>
              <w:rPr>
                <w:rFonts w:hint="eastAsia" w:ascii="宋体" w:hAnsi="宋体" w:eastAsia="宋体" w:cs="宋体"/>
                <w:b w:val="0"/>
                <w:bCs w:val="0"/>
                <w:color w:val="auto"/>
                <w:kern w:val="0"/>
                <w:sz w:val="21"/>
                <w:szCs w:val="21"/>
                <w:highlight w:val="none"/>
                <w:vertAlign w:val="superscript"/>
              </w:rPr>
              <w:t>3</w:t>
            </w:r>
            <w:r>
              <w:rPr>
                <w:rFonts w:hint="eastAsia" w:ascii="宋体" w:hAnsi="宋体" w:eastAsia="宋体" w:cs="宋体"/>
                <w:b w:val="0"/>
                <w:bCs w:val="0"/>
                <w:color w:val="auto"/>
                <w:kern w:val="0"/>
                <w:sz w:val="21"/>
                <w:szCs w:val="21"/>
                <w:highlight w:val="none"/>
              </w:rPr>
              <w:t>，已达到水库使用年限；②原设计的防洪、供水等功能需求降低。</w:t>
            </w:r>
          </w:p>
        </w:tc>
        <w:tc>
          <w:tcPr>
            <w:tcW w:w="50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30</w:t>
            </w:r>
          </w:p>
        </w:tc>
        <w:tc>
          <w:tcPr>
            <w:tcW w:w="51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w:t>
            </w:r>
          </w:p>
        </w:tc>
        <w:tc>
          <w:tcPr>
            <w:tcW w:w="52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龙眼坑水库</w:t>
            </w:r>
          </w:p>
        </w:tc>
        <w:tc>
          <w:tcPr>
            <w:tcW w:w="73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小（2）型</w:t>
            </w:r>
          </w:p>
        </w:tc>
        <w:tc>
          <w:tcPr>
            <w:tcW w:w="61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二类坝</w:t>
            </w:r>
          </w:p>
        </w:tc>
        <w:tc>
          <w:tcPr>
            <w:tcW w:w="18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原设计的防洪、灌溉等功能需求降低。</w:t>
            </w:r>
          </w:p>
        </w:tc>
        <w:tc>
          <w:tcPr>
            <w:tcW w:w="50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30</w:t>
            </w:r>
          </w:p>
        </w:tc>
        <w:tc>
          <w:tcPr>
            <w:tcW w:w="51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9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4</w:t>
            </w:r>
          </w:p>
        </w:tc>
        <w:tc>
          <w:tcPr>
            <w:tcW w:w="52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黄泥坑水库</w:t>
            </w:r>
          </w:p>
        </w:tc>
        <w:tc>
          <w:tcPr>
            <w:tcW w:w="73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小（2）型</w:t>
            </w:r>
          </w:p>
        </w:tc>
        <w:tc>
          <w:tcPr>
            <w:tcW w:w="61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三类坝</w:t>
            </w:r>
          </w:p>
        </w:tc>
        <w:tc>
          <w:tcPr>
            <w:tcW w:w="18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属三类坝，原设计的防洪、灌溉等功能需求降低。</w:t>
            </w:r>
          </w:p>
        </w:tc>
        <w:tc>
          <w:tcPr>
            <w:tcW w:w="50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30</w:t>
            </w:r>
          </w:p>
        </w:tc>
        <w:tc>
          <w:tcPr>
            <w:tcW w:w="51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5</w:t>
            </w:r>
          </w:p>
        </w:tc>
        <w:tc>
          <w:tcPr>
            <w:tcW w:w="52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冷水坑水库</w:t>
            </w:r>
          </w:p>
        </w:tc>
        <w:tc>
          <w:tcPr>
            <w:tcW w:w="730"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小（2）型</w:t>
            </w:r>
          </w:p>
        </w:tc>
        <w:tc>
          <w:tcPr>
            <w:tcW w:w="61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二类坝</w:t>
            </w:r>
          </w:p>
        </w:tc>
        <w:tc>
          <w:tcPr>
            <w:tcW w:w="1804"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left"/>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原设计的防洪、灌溉等功能需求降低。</w:t>
            </w:r>
          </w:p>
        </w:tc>
        <w:tc>
          <w:tcPr>
            <w:tcW w:w="50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20</w:t>
            </w:r>
          </w:p>
        </w:tc>
        <w:tc>
          <w:tcPr>
            <w:tcW w:w="519"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200</w:t>
            </w:r>
          </w:p>
        </w:tc>
      </w:tr>
    </w:tbl>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snapToGrid w:val="0"/>
          <w:color w:val="auto"/>
          <w:kern w:val="0"/>
          <w:sz w:val="21"/>
          <w:szCs w:val="21"/>
          <w:highlight w:val="none"/>
        </w:rPr>
      </w:pPr>
    </w:p>
    <w:p>
      <w:pPr>
        <w:pStyle w:val="5"/>
        <w:bidi w:val="0"/>
        <w:rPr>
          <w:rFonts w:hint="eastAsia" w:eastAsia="宋体"/>
          <w:color w:val="auto"/>
          <w:highlight w:val="none"/>
        </w:rPr>
      </w:pPr>
      <w:r>
        <w:rPr>
          <w:rFonts w:hint="eastAsia" w:eastAsia="宋体"/>
          <w:color w:val="auto"/>
          <w:highlight w:val="none"/>
        </w:rPr>
        <w:t>三、工作依据</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（1）《中华人民共和国水法》（2016年7月2日第十二届全国人民代表大会常务委员会第二十一次会议修订通过）；</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（2）《中华人民共和国防洪法》（1997年8月29日第八届全国人民代表大会常务委员会第二十七次会议通过）；</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（3）《中华人民共和国防汛条例》（2005年7月15日《国务院关于修订〈中华人民共和国防汛条例〉的决定》修订）；</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（4）《中华人民共和国河道管理条例》（1988年6月3日国务院第七次常务会议通过）；</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（5）《综合利用水库调度通则》（1993年12月1日水利部水管[1993]61号通知发布）；</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（6）《广东省水利工程管理条例》（2014年9月25日广东省第十二届人民代表大会常务委员会第十一次会议修订通过）；</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（7）《广东省水库大坝安全管理实施细则》（1994年1月18日广东省人民政府粤府[1994]9号发布）；</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（8）《防洪标准》（GB50201－2014）；</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（9）《水库调度设计规范》（GB\T50587－2010）；</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（10）《水库工程管理设计规范》（SL106－96）；</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（11）《水利水电工程设计洪水计算规范》（SL44－2006）；</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（12）《水利水电工程水文计算规范》（SL/T 278—2020）；</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（13）《溢洪道设计规范》（SL253－2000）；</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（14）《水库调度规程编制导则》</w:t>
      </w:r>
      <w:r>
        <w:rPr>
          <w:rFonts w:hint="eastAsia" w:ascii="宋体" w:hAnsi="宋体" w:eastAsia="宋体" w:cs="宋体"/>
          <w:snapToGrid w:val="0"/>
          <w:color w:val="auto"/>
          <w:kern w:val="0"/>
          <w:sz w:val="21"/>
          <w:szCs w:val="21"/>
          <w:highlight w:val="none"/>
        </w:rPr>
        <w:t>（SL706-2015）</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（15）《水库降等与报废标准》（SL 605-2013）；</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（16）《水库大坝安全评价导则》(SL258－2017)；</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（17）《水库降等与报废评估导则》（SL/T791-2019）；</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（18）《</w:t>
      </w:r>
      <w:r>
        <w:rPr>
          <w:rFonts w:hint="eastAsia" w:ascii="宋体" w:hAnsi="宋体" w:eastAsia="宋体" w:cs="宋体"/>
          <w:color w:val="auto"/>
          <w:kern w:val="0"/>
          <w:sz w:val="21"/>
          <w:szCs w:val="21"/>
          <w:highlight w:val="none"/>
        </w:rPr>
        <w:t>水库降等与报废管理办法（试行）》（2003年5月26日水利部令第18号发布）；</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（19）《东莞市清溪镇防洪排涝规划》；</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（20）《东莞市清溪镇楼仔水库大坝安全评价报告》；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（21）《东莞市清溪镇骆坑水库大坝安全评价报告》；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（22）《东莞市清溪镇龙眼坑水库大坝安全评价报告》；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（23）《东莞市清溪镇黄泥坑水库大坝安全评价报告》；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（24）《东莞市清溪镇冷水坑水库大坝安全评价报告》；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（25）《东莞市清溪镇楼仔水库调度规程》；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（26）《东莞市清溪镇骆坑水库调度规程》；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（27）《东莞市清溪镇龙眼坑水库调度规程》；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（28）《东莞市清溪镇黄泥坑水库调度规程》；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（29）《东莞市清溪镇冷水坑水库调度规程》；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（30）水库下游河道相关整治工程施工图及初步设计；</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（31）其他相关资料。</w:t>
      </w:r>
    </w:p>
    <w:p>
      <w:pPr>
        <w:bidi w:val="0"/>
        <w:rPr>
          <w:rFonts w:hint="eastAsia"/>
          <w:color w:val="auto"/>
          <w:highlight w:val="none"/>
        </w:rPr>
      </w:pPr>
    </w:p>
    <w:p>
      <w:pPr>
        <w:pStyle w:val="5"/>
        <w:bidi w:val="0"/>
        <w:rPr>
          <w:rFonts w:hint="eastAsia" w:eastAsia="宋体"/>
          <w:color w:val="auto"/>
          <w:highlight w:val="none"/>
        </w:rPr>
      </w:pPr>
      <w:r>
        <w:rPr>
          <w:rFonts w:hint="eastAsia" w:eastAsia="宋体"/>
          <w:color w:val="auto"/>
          <w:highlight w:val="none"/>
        </w:rPr>
        <w:t>四、报告内容</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bookmarkStart w:id="187" w:name="_Toc142453678"/>
      <w:r>
        <w:rPr>
          <w:rFonts w:hint="eastAsia" w:ascii="宋体" w:hAnsi="宋体" w:eastAsia="宋体" w:cs="宋体"/>
          <w:color w:val="auto"/>
          <w:sz w:val="21"/>
          <w:szCs w:val="21"/>
          <w:highlight w:val="none"/>
        </w:rPr>
        <w:t>本次每座水库编制5本报告，包括水库降等论证报告、水库特征水位调整论证报告、水库安全鉴定报告（修编）、水库汛期调度运用规程（修编）、水库调度规程。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（1）水库降等论证报告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1、水库现状调查及初步分析 </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现状调查范围包括工程管理和保护范围、工程影响范围；调查对象应包括库区、工程设施、管理机构、工程影响对象和受益对象。</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现状调查内容和指标应能反映评估水库的基本特征和存在的主要问题，应包括工程基本情况、运行管理情况、安全与风险状况、功能与效益、经济与社会影响等。</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初步分析应分析水库降等的适用条件和可能影响，明确评估重点。</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2、水库降等理由</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3、水库降等影响预测与评估</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通过影响预测与评估进一步分析现状水库降等的适用条件，并预测和评估水库降等后可能带来的影响，为水库降等或报废对策措施和管理决策提供依据。包括库容与功能指标影响预测与评估、工程安全条件影响预测与评估、经济与社会影响预测与评估、环境影响预测与评估。</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4、对策措施与管理</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根据水库降等影响范围、影响对象、时段、程度、保护目标要求，提出预防、减免、恢复、补偿、管理、监测等对策和管理措施。对策和管理措施包括工程措施、非工程措施和善后管理，并制定相应方案。</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5、费用与效益估算</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6、综合评估</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包括水库降等综合评估、评估结论与建议。</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7、附录</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（2）水库特征水位调整论证报告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水库特征水位主要有：正常蓄水位、死水位、防洪限制水位、防洪高水位、设计洪水位、校核洪水位。水库特征水位调整论证报告主要是论证降等后水库的特征水位。</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（3）水库安全鉴定报告（修编）</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包括工程质量评价、大坝运行管理评价、防洪标准复核、大坝结构安全、稳定评价、渗流安全评价、抗震安全复核、金属结构安全评价和大坝安全综合评价等；</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（4）水库汛期调度运用规程（修编）、水库调度规程</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水库调度规程是对水库降等后，日常调度运行编制；水库汛期调度运用规程是对水库降等后，汛期调度运行。</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水库汛期调度运用规程（修编）、水库调度规程包括：水库概况（含水库位置、水库功能、地形地貌、水利工程及其配套设施）、调度条件和依据、科学合理的调度方案、调度管理、相关附则、图册。</w:t>
      </w:r>
    </w:p>
    <w:p>
      <w:pPr>
        <w:bidi w:val="0"/>
        <w:rPr>
          <w:rFonts w:hint="eastAsia"/>
          <w:color w:val="auto"/>
          <w:highlight w:val="none"/>
        </w:rPr>
      </w:pPr>
    </w:p>
    <w:p>
      <w:pPr>
        <w:pStyle w:val="5"/>
        <w:bidi w:val="0"/>
        <w:rPr>
          <w:rFonts w:hint="eastAsia" w:eastAsia="宋体"/>
          <w:color w:val="auto"/>
          <w:highlight w:val="none"/>
        </w:rPr>
      </w:pPr>
      <w:r>
        <w:rPr>
          <w:rFonts w:hint="eastAsia" w:eastAsia="宋体"/>
          <w:color w:val="auto"/>
          <w:highlight w:val="none"/>
        </w:rPr>
        <w:t>五、溢洪道断面测量</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对楼仔水库、骆坑水库、龙眼坑水库溢洪道断面进行重新测量，成果能满足水库降等论证报告使用。</w:t>
      </w:r>
    </w:p>
    <w:p>
      <w:pPr>
        <w:bidi w:val="0"/>
        <w:rPr>
          <w:rFonts w:hint="eastAsia"/>
          <w:color w:val="auto"/>
          <w:highlight w:val="none"/>
        </w:rPr>
      </w:pPr>
    </w:p>
    <w:bookmarkEnd w:id="187"/>
    <w:p>
      <w:pPr>
        <w:pStyle w:val="5"/>
        <w:bidi w:val="0"/>
        <w:rPr>
          <w:rFonts w:hint="eastAsia" w:eastAsia="宋体"/>
          <w:color w:val="auto"/>
          <w:highlight w:val="none"/>
        </w:rPr>
      </w:pPr>
      <w:r>
        <w:rPr>
          <w:rFonts w:hint="eastAsia" w:eastAsia="宋体"/>
          <w:color w:val="auto"/>
          <w:highlight w:val="none"/>
        </w:rPr>
        <w:t>六、工作步骤</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1、收集资料并进行分析；</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2、项目区现状调查、分析评估；</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3、编制工作大纲；</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4、征求意见并根据意见修改、完善；</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5、编制报告；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6、出版报告（送审稿），交付验收，并根据需要再次征求意见；</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7、根据审查意见和征求的意见修改报告，并出版报批稿。</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8、中标人配合招标人向市水行政主管部门交付相关成果，并备案。</w:t>
      </w:r>
    </w:p>
    <w:p>
      <w:pPr>
        <w:bidi w:val="0"/>
        <w:rPr>
          <w:rFonts w:hint="eastAsia"/>
          <w:color w:val="auto"/>
          <w:highlight w:val="none"/>
        </w:rPr>
      </w:pPr>
    </w:p>
    <w:p>
      <w:pPr>
        <w:pStyle w:val="5"/>
        <w:bidi w:val="0"/>
        <w:rPr>
          <w:rFonts w:hint="eastAsia" w:eastAsia="宋体"/>
          <w:color w:val="auto"/>
          <w:highlight w:val="none"/>
        </w:rPr>
      </w:pPr>
      <w:r>
        <w:rPr>
          <w:rFonts w:hint="eastAsia" w:eastAsia="宋体"/>
          <w:color w:val="auto"/>
          <w:highlight w:val="none"/>
        </w:rPr>
        <w:t>七、</w:t>
      </w:r>
      <w:bookmarkStart w:id="188" w:name="_Toc361150160"/>
      <w:r>
        <w:rPr>
          <w:rFonts w:hint="eastAsia" w:eastAsia="宋体"/>
          <w:color w:val="auto"/>
          <w:highlight w:val="none"/>
        </w:rPr>
        <w:t>成果提交内容及份数</w:t>
      </w:r>
      <w:bookmarkEnd w:id="188"/>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1、项目的划定成果属于东莞市清溪镇水务工程</w:t>
      </w:r>
      <w:r>
        <w:rPr>
          <w:rFonts w:hint="eastAsia" w:ascii="宋体" w:hAnsi="宋体" w:eastAsia="宋体" w:cs="宋体"/>
          <w:bCs/>
          <w:color w:val="auto"/>
          <w:sz w:val="21"/>
          <w:szCs w:val="21"/>
          <w:highlight w:val="none"/>
          <w:lang w:val="en-US" w:eastAsia="zh-CN"/>
        </w:rPr>
        <w:t>运营</w:t>
      </w:r>
      <w:r>
        <w:rPr>
          <w:rFonts w:hint="eastAsia" w:ascii="宋体" w:hAnsi="宋体" w:eastAsia="宋体" w:cs="宋体"/>
          <w:bCs/>
          <w:color w:val="auto"/>
          <w:sz w:val="21"/>
          <w:szCs w:val="21"/>
          <w:highlight w:val="none"/>
        </w:rPr>
        <w:t>中心，未经许可，任何人不得应用商业或其他经济目的。</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2、项目组和相关人员亦不得有对外发布或单方发表等侵权行为。</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3、中标人需向采购人提供各</w:t>
      </w:r>
      <w:r>
        <w:rPr>
          <w:rFonts w:hint="eastAsia" w:ascii="宋体" w:hAnsi="宋体" w:eastAsia="宋体" w:cs="宋体"/>
          <w:color w:val="auto"/>
          <w:sz w:val="21"/>
          <w:szCs w:val="21"/>
          <w:highlight w:val="none"/>
        </w:rPr>
        <w:t>水库降等论证报告</w:t>
      </w:r>
      <w:r>
        <w:rPr>
          <w:rFonts w:hint="eastAsia" w:ascii="宋体" w:hAnsi="宋体" w:eastAsia="宋体" w:cs="宋体"/>
          <w:bCs/>
          <w:color w:val="auto"/>
          <w:sz w:val="21"/>
          <w:szCs w:val="21"/>
          <w:highlight w:val="none"/>
        </w:rPr>
        <w:t>送审稿一式8份，电子版一份；报批稿书面文件一式8份，电子文件1份。</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4、上述成果须符合国家及行业相关标准和规范。</w:t>
      </w:r>
    </w:p>
    <w:p>
      <w:pPr>
        <w:bidi w:val="0"/>
        <w:rPr>
          <w:rFonts w:hint="eastAsia"/>
          <w:color w:val="auto"/>
          <w:highlight w:val="none"/>
        </w:rPr>
      </w:pPr>
    </w:p>
    <w:p>
      <w:pPr>
        <w:pStyle w:val="5"/>
        <w:bidi w:val="0"/>
        <w:rPr>
          <w:rFonts w:hint="eastAsia" w:eastAsia="宋体"/>
          <w:color w:val="auto"/>
          <w:highlight w:val="none"/>
        </w:rPr>
      </w:pPr>
      <w:r>
        <w:rPr>
          <w:rFonts w:hint="eastAsia" w:eastAsia="宋体"/>
          <w:color w:val="auto"/>
          <w:highlight w:val="none"/>
        </w:rPr>
        <w:t>八、其它要求</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项目成果应有助于维护清溪镇水利建设成果，建立良好的水利管理秩序，更好地发挥水利工程效益。同时也有助于提升全镇水资源保护的执法水平，保障全镇人民生命财产安全，有助于推进清溪镇水生态文明建设，促进经济社会全面协调可持续发展。</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2、中标单位应自备本项目使用的法规、标准和其他规划依据资料，以及划定成果的专家评审费用,该费用包含在投标报价中而不另行支付。</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3、中标人签约后，应严格履行投标文件中拟投入服务的人员的承诺，不得任意更换或减少。如有更换须提前报采购人书面审批，任何更换应不低于投标文件中的要求。采购人的审批不免除中标人的责任和义务。</w:t>
      </w:r>
    </w:p>
    <w:p>
      <w:pPr>
        <w:keepNext w:val="0"/>
        <w:keepLines w:val="0"/>
        <w:pageBreakBefore w:val="0"/>
        <w:widowControl/>
        <w:kinsoku/>
        <w:wordWrap/>
        <w:overflowPunct/>
        <w:topLinePunct w:val="0"/>
        <w:autoSpaceDE/>
        <w:autoSpaceDN/>
        <w:bidi w:val="0"/>
        <w:adjustRightInd w:val="0"/>
        <w:snapToGrid w:val="0"/>
        <w:spacing w:line="360" w:lineRule="auto"/>
        <w:ind w:left="0" w:firstLine="42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4、中标人中标后不得将本项目转包或分包。</w:t>
      </w:r>
    </w:p>
    <w:p>
      <w:pPr>
        <w:spacing w:after="0" w:line="360" w:lineRule="auto"/>
        <w:ind w:firstLine="422" w:firstLineChars="200"/>
        <w:rPr>
          <w:rFonts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3"/>
      <w:bookmarkEnd w:id="184"/>
      <w:bookmarkEnd w:id="185"/>
      <w:bookmarkEnd w:id="186"/>
      <w:bookmarkStart w:id="189" w:name="_Toc12485"/>
      <w:bookmarkStart w:id="190" w:name="_Toc21448"/>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8"/>
          <w:szCs w:val="28"/>
          <w:highlight w:val="none"/>
        </w:rPr>
      </w:pPr>
      <w:bookmarkStart w:id="191"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9"/>
      <w:bookmarkEnd w:id="190"/>
      <w:bookmarkEnd w:id="191"/>
      <w:bookmarkStart w:id="192" w:name="_Toc13430"/>
      <w:bookmarkStart w:id="193" w:name="_Toc1534"/>
      <w:bookmarkStart w:id="194" w:name="_Toc21155"/>
    </w:p>
    <w:p>
      <w:pPr>
        <w:pStyle w:val="4"/>
        <w:spacing w:before="0" w:after="0" w:line="240" w:lineRule="auto"/>
        <w:jc w:val="center"/>
        <w:rPr>
          <w:rFonts w:ascii="宋体" w:hAnsi="宋体" w:eastAsia="宋体" w:cs="宋体"/>
          <w:color w:val="auto"/>
          <w:highlight w:val="none"/>
        </w:rPr>
      </w:pPr>
      <w:bookmarkStart w:id="195" w:name="_Toc19575"/>
      <w:bookmarkStart w:id="196" w:name="_Toc16730"/>
      <w:bookmarkStart w:id="197" w:name="_Toc8880"/>
      <w:r>
        <w:rPr>
          <w:rFonts w:hint="eastAsia" w:ascii="宋体" w:hAnsi="宋体" w:eastAsia="宋体" w:cs="宋体"/>
          <w:color w:val="auto"/>
          <w:highlight w:val="none"/>
        </w:rPr>
        <w:t>合同格式</w:t>
      </w:r>
      <w:bookmarkEnd w:id="192"/>
      <w:bookmarkEnd w:id="193"/>
      <w:bookmarkEnd w:id="194"/>
      <w:bookmarkEnd w:id="195"/>
      <w:bookmarkEnd w:id="196"/>
      <w:bookmarkEnd w:id="197"/>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8"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8"/>
    <w:p>
      <w:pPr>
        <w:spacing w:after="0" w:line="360" w:lineRule="auto"/>
        <w:ind w:firstLine="422" w:firstLineChars="200"/>
        <w:rPr>
          <w:rFonts w:ascii="宋体" w:hAnsi="宋体" w:eastAsia="宋体"/>
          <w:b/>
          <w:color w:val="auto"/>
          <w:sz w:val="21"/>
          <w:szCs w:val="21"/>
          <w:highlight w:val="none"/>
        </w:rPr>
      </w:pPr>
      <w:bookmarkStart w:id="199"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200" w:name="_Toc86481569"/>
      <w:r>
        <w:rPr>
          <w:rFonts w:hint="eastAsia" w:ascii="宋体" w:hAnsi="宋体" w:eastAsia="宋体"/>
          <w:b/>
          <w:color w:val="auto"/>
          <w:sz w:val="21"/>
          <w:szCs w:val="21"/>
          <w:highlight w:val="none"/>
        </w:rPr>
        <w:t>第十二条 合同生效</w:t>
      </w:r>
      <w:bookmarkEnd w:id="200"/>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9"/>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1" w:name="_Toc23749"/>
      <w:bookmarkStart w:id="202" w:name="_Toc31587"/>
      <w:bookmarkStart w:id="203"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01"/>
      <w:bookmarkEnd w:id="202"/>
      <w:bookmarkEnd w:id="203"/>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5794"/>
      <w:bookmarkStart w:id="205" w:name="_Toc6790"/>
      <w:bookmarkStart w:id="206" w:name="_Toc26830"/>
      <w:r>
        <w:rPr>
          <w:rFonts w:hint="eastAsia"/>
          <w:color w:val="auto"/>
          <w:highlight w:val="none"/>
        </w:rPr>
        <w:t>投标文件目录</w:t>
      </w:r>
      <w:bookmarkEnd w:id="204"/>
      <w:bookmarkEnd w:id="205"/>
      <w:bookmarkEnd w:id="206"/>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7" w:name="_Toc25502"/>
      <w:bookmarkStart w:id="208" w:name="_Toc18893"/>
      <w:bookmarkStart w:id="209" w:name="_Toc5670"/>
      <w:r>
        <w:rPr>
          <w:rFonts w:hint="eastAsia"/>
          <w:color w:val="auto"/>
          <w:highlight w:val="none"/>
        </w:rPr>
        <w:t>评分标准索引表</w:t>
      </w:r>
      <w:bookmarkEnd w:id="207"/>
      <w:bookmarkEnd w:id="208"/>
      <w:bookmarkEnd w:id="209"/>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0" w:name="_Toc8194"/>
      <w:bookmarkStart w:id="211" w:name="_Toc22080"/>
      <w:bookmarkStart w:id="212" w:name="_Toc30640"/>
      <w:r>
        <w:rPr>
          <w:rFonts w:hint="eastAsia"/>
          <w:color w:val="auto"/>
          <w:highlight w:val="none"/>
          <w:lang w:val="en-US" w:eastAsia="zh-CN"/>
        </w:rPr>
        <w:t>第一章价格文件</w:t>
      </w:r>
      <w:bookmarkEnd w:id="210"/>
      <w:bookmarkEnd w:id="211"/>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4168"/>
      <w:bookmarkStart w:id="214" w:name="_Toc19750"/>
      <w:r>
        <w:rPr>
          <w:rFonts w:hint="eastAsia"/>
          <w:color w:val="auto"/>
          <w:highlight w:val="none"/>
          <w:lang w:val="en-US" w:eastAsia="zh-CN"/>
        </w:rPr>
        <w:t>一、唱标一览表</w:t>
      </w:r>
      <w:bookmarkEnd w:id="213"/>
      <w:bookmarkEnd w:id="214"/>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pStyle w:val="8"/>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31172"/>
      <w:bookmarkStart w:id="216" w:name="_Toc31062"/>
      <w:r>
        <w:rPr>
          <w:rFonts w:hint="eastAsia"/>
          <w:color w:val="auto"/>
          <w:highlight w:val="none"/>
          <w:lang w:val="en-US" w:eastAsia="zh-CN"/>
        </w:rPr>
        <w:t>二、报价明细表</w:t>
      </w:r>
      <w:bookmarkEnd w:id="215"/>
      <w:bookmarkEnd w:id="216"/>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7" w:name="_Toc20974"/>
      <w:bookmarkStart w:id="218" w:name="_Toc23355"/>
      <w:r>
        <w:rPr>
          <w:rFonts w:hint="eastAsia"/>
          <w:color w:val="auto"/>
          <w:highlight w:val="none"/>
          <w:lang w:val="en-US" w:eastAsia="zh-CN"/>
        </w:rPr>
        <w:t>三、小型或微型企业（货物/服务/承担的工程）明细表</w:t>
      </w:r>
      <w:bookmarkEnd w:id="217"/>
      <w:bookmarkEnd w:id="218"/>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13970"/>
      <w:bookmarkStart w:id="220" w:name="_Toc16718"/>
      <w:r>
        <w:rPr>
          <w:rFonts w:hint="eastAsia"/>
          <w:color w:val="auto"/>
          <w:highlight w:val="none"/>
          <w:lang w:val="en-US" w:eastAsia="zh-CN"/>
        </w:rPr>
        <w:t>四、节能产品或环境标志产品明细表</w:t>
      </w:r>
      <w:bookmarkEnd w:id="219"/>
      <w:bookmarkEnd w:id="220"/>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17482"/>
      <w:bookmarkStart w:id="222" w:name="_Toc10853"/>
      <w:r>
        <w:rPr>
          <w:rFonts w:hint="eastAsia"/>
          <w:color w:val="auto"/>
          <w:highlight w:val="none"/>
          <w:lang w:val="en-US" w:eastAsia="zh-CN"/>
        </w:rPr>
        <w:t>五、中小企业声明函</w:t>
      </w:r>
      <w:bookmarkEnd w:id="221"/>
      <w:bookmarkEnd w:id="222"/>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7959"/>
      <w:bookmarkStart w:id="224" w:name="_Toc8560"/>
      <w:r>
        <w:rPr>
          <w:rFonts w:hint="eastAsia"/>
          <w:color w:val="auto"/>
          <w:highlight w:val="none"/>
          <w:lang w:val="en-US" w:eastAsia="zh-CN"/>
        </w:rPr>
        <w:t>六、残疾人福利性单位声明函</w:t>
      </w:r>
      <w:bookmarkEnd w:id="223"/>
      <w:bookmarkEnd w:id="224"/>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5" w:name="_Toc30277"/>
      <w:bookmarkStart w:id="226" w:name="_Toc22970"/>
      <w:bookmarkStart w:id="227" w:name="_Toc20910"/>
      <w:bookmarkStart w:id="228" w:name="_Toc508898066"/>
      <w:bookmarkStart w:id="229" w:name="_Toc509927455"/>
      <w:bookmarkStart w:id="230" w:name="_Toc509844825"/>
      <w:bookmarkStart w:id="231" w:name="_Toc17761"/>
      <w:bookmarkStart w:id="232" w:name="_Toc509479530"/>
      <w:bookmarkStart w:id="233" w:name="_Toc30247"/>
      <w:bookmarkStart w:id="234" w:name="_Toc510171693"/>
      <w:bookmarkStart w:id="235" w:name="_Toc508960153"/>
      <w:bookmarkStart w:id="236" w:name="_Toc50895870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5"/>
      <w:bookmarkEnd w:id="226"/>
      <w:bookmarkEnd w:id="227"/>
      <w:bookmarkEnd w:id="228"/>
      <w:bookmarkEnd w:id="229"/>
      <w:bookmarkEnd w:id="230"/>
      <w:bookmarkEnd w:id="231"/>
      <w:bookmarkEnd w:id="232"/>
      <w:bookmarkEnd w:id="233"/>
      <w:bookmarkEnd w:id="234"/>
      <w:bookmarkEnd w:id="235"/>
      <w:bookmarkEnd w:id="236"/>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7" w:name="_Toc509927456"/>
      <w:bookmarkStart w:id="238" w:name="_Toc510171694"/>
      <w:bookmarkStart w:id="239" w:name="_Toc28527"/>
      <w:bookmarkStart w:id="240" w:name="_Toc21053"/>
      <w:bookmarkStart w:id="241" w:name="_Toc508960154"/>
      <w:bookmarkStart w:id="242" w:name="_Toc26216"/>
      <w:bookmarkStart w:id="243" w:name="_Toc509479531"/>
      <w:bookmarkStart w:id="244" w:name="_Toc5447"/>
      <w:bookmarkStart w:id="245" w:name="_Toc508958704"/>
      <w:bookmarkStart w:id="246" w:name="_Toc508898067"/>
      <w:bookmarkStart w:id="247" w:name="_Toc509844826"/>
      <w:bookmarkStart w:id="248" w:name="_Toc31520"/>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7"/>
      <w:bookmarkEnd w:id="238"/>
      <w:bookmarkEnd w:id="239"/>
      <w:bookmarkEnd w:id="240"/>
      <w:bookmarkEnd w:id="241"/>
      <w:bookmarkEnd w:id="242"/>
      <w:bookmarkEnd w:id="243"/>
      <w:bookmarkEnd w:id="244"/>
      <w:bookmarkEnd w:id="245"/>
      <w:bookmarkEnd w:id="246"/>
      <w:bookmarkEnd w:id="247"/>
      <w:bookmarkEnd w:id="24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9" w:name="_Toc508898068"/>
      <w:bookmarkStart w:id="250" w:name="_Toc509927457"/>
      <w:bookmarkStart w:id="251" w:name="_Toc508960155"/>
      <w:bookmarkStart w:id="252" w:name="_Toc508958705"/>
      <w:bookmarkStart w:id="253" w:name="_Toc28626"/>
      <w:bookmarkStart w:id="254" w:name="_Toc14653"/>
      <w:bookmarkStart w:id="255" w:name="_Toc9148"/>
      <w:bookmarkStart w:id="256" w:name="_Toc28126"/>
      <w:bookmarkStart w:id="257" w:name="_Toc509479532"/>
      <w:bookmarkStart w:id="258" w:name="_Toc24848"/>
      <w:bookmarkStart w:id="259" w:name="_Toc509844827"/>
      <w:bookmarkStart w:id="260" w:name="_Toc510171695"/>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9"/>
      <w:bookmarkEnd w:id="250"/>
      <w:bookmarkEnd w:id="251"/>
      <w:bookmarkEnd w:id="252"/>
      <w:bookmarkEnd w:id="253"/>
      <w:bookmarkEnd w:id="254"/>
      <w:bookmarkEnd w:id="255"/>
      <w:bookmarkEnd w:id="256"/>
      <w:bookmarkEnd w:id="257"/>
      <w:bookmarkEnd w:id="258"/>
      <w:bookmarkEnd w:id="259"/>
      <w:bookmarkEnd w:id="26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1" w:name="_Toc509479533"/>
      <w:bookmarkStart w:id="262" w:name="_Toc510171696"/>
      <w:bookmarkStart w:id="263" w:name="_Toc509927458"/>
      <w:bookmarkStart w:id="264" w:name="_Toc9837"/>
      <w:bookmarkStart w:id="265" w:name="_Toc28044"/>
      <w:bookmarkStart w:id="266" w:name="_Toc28686"/>
      <w:bookmarkStart w:id="267" w:name="_Toc508960156"/>
      <w:bookmarkStart w:id="268" w:name="_Toc22981"/>
      <w:bookmarkStart w:id="269" w:name="_Toc7858"/>
      <w:bookmarkStart w:id="270" w:name="_Toc509844828"/>
      <w:bookmarkStart w:id="271" w:name="_Toc508898069"/>
      <w:bookmarkStart w:id="272" w:name="_Toc50895870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61"/>
      <w:bookmarkEnd w:id="262"/>
      <w:bookmarkEnd w:id="263"/>
      <w:bookmarkEnd w:id="264"/>
      <w:bookmarkEnd w:id="265"/>
      <w:bookmarkEnd w:id="266"/>
      <w:bookmarkEnd w:id="267"/>
      <w:bookmarkEnd w:id="268"/>
      <w:bookmarkEnd w:id="269"/>
      <w:bookmarkEnd w:id="270"/>
      <w:bookmarkEnd w:id="271"/>
      <w:bookmarkEnd w:id="27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3" w:name="_Toc508960157"/>
      <w:bookmarkStart w:id="274" w:name="_Toc508958707"/>
      <w:bookmarkStart w:id="275" w:name="_Toc509844829"/>
      <w:bookmarkStart w:id="276" w:name="_Toc510171697"/>
      <w:bookmarkStart w:id="277" w:name="_Toc18843"/>
      <w:bookmarkStart w:id="278" w:name="_Toc509927459"/>
      <w:bookmarkStart w:id="279" w:name="_Toc5289"/>
      <w:bookmarkStart w:id="280" w:name="_Toc508898070"/>
      <w:bookmarkStart w:id="281" w:name="_Toc509479534"/>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3"/>
      <w:bookmarkEnd w:id="274"/>
      <w:bookmarkEnd w:id="275"/>
      <w:bookmarkEnd w:id="276"/>
      <w:bookmarkEnd w:id="277"/>
      <w:bookmarkEnd w:id="278"/>
      <w:bookmarkEnd w:id="279"/>
      <w:bookmarkEnd w:id="280"/>
      <w:bookmarkEnd w:id="281"/>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82" w:name="_Toc6471"/>
      <w:bookmarkStart w:id="283" w:name="_Toc23948"/>
      <w:r>
        <w:rPr>
          <w:rFonts w:hint="eastAsia"/>
          <w:color w:val="auto"/>
          <w:highlight w:val="none"/>
          <w:lang w:val="en-US" w:eastAsia="zh-CN"/>
        </w:rPr>
        <w:t>第二章商务文件</w:t>
      </w:r>
      <w:bookmarkEnd w:id="282"/>
      <w:bookmarkEnd w:id="283"/>
    </w:p>
    <w:bookmarkEnd w:id="212"/>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4" w:name="_Toc1952"/>
      <w:bookmarkStart w:id="285" w:name="_Toc23787"/>
      <w:r>
        <w:rPr>
          <w:rFonts w:hint="eastAsia"/>
          <w:color w:val="auto"/>
          <w:highlight w:val="none"/>
          <w:lang w:val="en-US" w:eastAsia="zh-CN"/>
        </w:rPr>
        <w:t>一、投标函</w:t>
      </w:r>
      <w:bookmarkEnd w:id="284"/>
      <w:bookmarkEnd w:id="285"/>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28616"/>
      <w:bookmarkStart w:id="287" w:name="_Toc15719"/>
      <w:r>
        <w:rPr>
          <w:rFonts w:hint="eastAsia"/>
          <w:color w:val="auto"/>
          <w:highlight w:val="none"/>
          <w:lang w:val="en-US" w:eastAsia="zh-CN"/>
        </w:rPr>
        <w:t>二、资格申明函</w:t>
      </w:r>
      <w:bookmarkEnd w:id="286"/>
      <w:bookmarkEnd w:id="287"/>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88"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9" w:name="_Toc21273"/>
      <w:bookmarkStart w:id="290" w:name="_Toc32742"/>
      <w:r>
        <w:rPr>
          <w:rFonts w:hint="eastAsia"/>
          <w:color w:val="auto"/>
          <w:highlight w:val="none"/>
          <w:lang w:val="en-US" w:eastAsia="zh-CN"/>
        </w:rPr>
        <w:t>三、在参与政府采购活动前三年未有重大违法记录、没有不良信用记录的声明函</w:t>
      </w:r>
      <w:bookmarkEnd w:id="289"/>
      <w:bookmarkEnd w:id="290"/>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1" w:name="_Toc3894"/>
      <w:bookmarkStart w:id="292" w:name="_Toc13243"/>
      <w:r>
        <w:rPr>
          <w:rFonts w:hint="eastAsia"/>
          <w:color w:val="auto"/>
          <w:highlight w:val="none"/>
          <w:lang w:val="en-US" w:eastAsia="zh-CN"/>
        </w:rPr>
        <w:t>四、法定代表人证明书</w:t>
      </w:r>
      <w:bookmarkEnd w:id="291"/>
      <w:bookmarkEnd w:id="29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3" w:name="_Toc5626"/>
      <w:bookmarkStart w:id="294" w:name="_Toc5918"/>
      <w:r>
        <w:rPr>
          <w:rFonts w:hint="eastAsia"/>
          <w:color w:val="auto"/>
          <w:highlight w:val="none"/>
          <w:lang w:val="en-US" w:eastAsia="zh-CN"/>
        </w:rPr>
        <w:t>五、法定代表人授权书</w:t>
      </w:r>
      <w:bookmarkEnd w:id="293"/>
      <w:bookmarkEnd w:id="294"/>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5"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6" w:name="_Toc24013"/>
      <w:bookmarkStart w:id="297" w:name="_Toc18562"/>
      <w:r>
        <w:rPr>
          <w:rFonts w:hint="eastAsia"/>
          <w:color w:val="auto"/>
          <w:highlight w:val="none"/>
          <w:lang w:val="en-US" w:eastAsia="zh-CN"/>
        </w:rPr>
        <w:t>六、投标人基本情况说明</w:t>
      </w:r>
      <w:bookmarkEnd w:id="296"/>
      <w:bookmarkEnd w:id="297"/>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8" w:name="_Toc1511"/>
      <w:bookmarkStart w:id="299" w:name="_Toc4926"/>
      <w:bookmarkStart w:id="300" w:name="_Toc24210"/>
      <w:bookmarkStart w:id="301" w:name="_Toc28067"/>
      <w:bookmarkStart w:id="302" w:name="_Toc29995"/>
      <w:bookmarkStart w:id="303" w:name="_Toc17470"/>
      <w:bookmarkStart w:id="304" w:name="_Toc5919"/>
      <w:r>
        <w:rPr>
          <w:rFonts w:hint="eastAsia"/>
          <w:color w:val="auto"/>
          <w:highlight w:val="none"/>
          <w:lang w:val="en-US" w:eastAsia="zh-CN"/>
        </w:rPr>
        <w:t>七、</w:t>
      </w:r>
      <w:r>
        <w:rPr>
          <w:rFonts w:hint="eastAsia"/>
          <w:color w:val="auto"/>
          <w:highlight w:val="none"/>
        </w:rPr>
        <w:t>营业执照</w:t>
      </w:r>
      <w:bookmarkEnd w:id="298"/>
      <w:bookmarkEnd w:id="299"/>
      <w:bookmarkEnd w:id="300"/>
      <w:bookmarkEnd w:id="301"/>
      <w:bookmarkEnd w:id="302"/>
      <w:bookmarkEnd w:id="303"/>
      <w:bookmarkEnd w:id="30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5"/>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5" w:name="_Toc29439"/>
      <w:bookmarkStart w:id="306" w:name="_Toc21638"/>
      <w:r>
        <w:rPr>
          <w:rFonts w:hint="eastAsia"/>
          <w:color w:val="auto"/>
          <w:highlight w:val="none"/>
          <w:lang w:val="en-US" w:eastAsia="zh-CN"/>
        </w:rPr>
        <w:t>八、</w:t>
      </w:r>
      <w:r>
        <w:rPr>
          <w:rFonts w:hint="eastAsia"/>
          <w:color w:val="auto"/>
          <w:highlight w:val="none"/>
        </w:rPr>
        <w:t>特殊资格要求证明文件</w:t>
      </w:r>
      <w:bookmarkEnd w:id="305"/>
      <w:bookmarkEnd w:id="30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7" w:name="_Toc23341"/>
      <w:bookmarkStart w:id="308" w:name="_Toc14263"/>
      <w:r>
        <w:rPr>
          <w:rFonts w:hint="eastAsia"/>
          <w:color w:val="auto"/>
          <w:highlight w:val="none"/>
          <w:lang w:val="en-US" w:eastAsia="zh-CN"/>
        </w:rPr>
        <w:t>九、</w:t>
      </w:r>
      <w:r>
        <w:rPr>
          <w:rFonts w:hint="eastAsia"/>
          <w:color w:val="auto"/>
          <w:highlight w:val="none"/>
        </w:rPr>
        <w:t>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9"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9"/>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0" w:name="_Toc13653"/>
      <w:bookmarkStart w:id="311" w:name="_Toc13955"/>
      <w:r>
        <w:rPr>
          <w:rFonts w:hint="eastAsia"/>
          <w:color w:val="auto"/>
          <w:highlight w:val="none"/>
          <w:lang w:val="en-US" w:eastAsia="zh-CN"/>
        </w:rPr>
        <w:t>十、招标代理服务费承诺书</w:t>
      </w:r>
      <w:bookmarkEnd w:id="310"/>
      <w:bookmarkEnd w:id="311"/>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12598"/>
      <w:bookmarkStart w:id="313" w:name="_Toc1975"/>
      <w:r>
        <w:rPr>
          <w:rFonts w:hint="eastAsia"/>
          <w:color w:val="auto"/>
          <w:highlight w:val="none"/>
          <w:lang w:val="en-US" w:eastAsia="zh-CN"/>
        </w:rPr>
        <w:t>十一、</w:t>
      </w:r>
      <w:r>
        <w:rPr>
          <w:rFonts w:hint="eastAsia"/>
          <w:color w:val="auto"/>
          <w:highlight w:val="none"/>
        </w:rPr>
        <w:t>商务条款偏离表</w:t>
      </w:r>
      <w:bookmarkEnd w:id="312"/>
      <w:bookmarkEnd w:id="313"/>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4"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19276"/>
      <w:bookmarkStart w:id="316" w:name="_Toc25391"/>
      <w:r>
        <w:rPr>
          <w:rFonts w:hint="eastAsia"/>
          <w:color w:val="auto"/>
          <w:highlight w:val="none"/>
          <w:lang w:val="en-US" w:eastAsia="zh-CN"/>
        </w:rPr>
        <w:t>十二、</w:t>
      </w:r>
      <w:r>
        <w:rPr>
          <w:rFonts w:hint="eastAsia"/>
          <w:color w:val="auto"/>
          <w:highlight w:val="none"/>
        </w:rPr>
        <w:t>业绩表</w:t>
      </w:r>
      <w:bookmarkEnd w:id="315"/>
      <w:bookmarkEnd w:id="316"/>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7" w:name="_Toc14688"/>
      <w:bookmarkStart w:id="318" w:name="_Toc20520"/>
      <w:r>
        <w:rPr>
          <w:rFonts w:hint="eastAsia"/>
          <w:color w:val="auto"/>
          <w:highlight w:val="none"/>
          <w:lang w:val="en-US" w:eastAsia="zh-CN"/>
        </w:rPr>
        <w:t>第三章技术文件</w:t>
      </w:r>
      <w:bookmarkEnd w:id="314"/>
      <w:bookmarkEnd w:id="317"/>
      <w:bookmarkEnd w:id="31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9" w:name="_Toc7092"/>
      <w:bookmarkStart w:id="320" w:name="_Toc13097"/>
      <w:r>
        <w:rPr>
          <w:rFonts w:hint="eastAsia"/>
          <w:color w:val="auto"/>
          <w:highlight w:val="none"/>
          <w:lang w:val="en-US" w:eastAsia="zh-CN"/>
        </w:rPr>
        <w:t>一、</w:t>
      </w:r>
      <w:r>
        <w:rPr>
          <w:rFonts w:hint="eastAsia"/>
          <w:color w:val="auto"/>
          <w:highlight w:val="none"/>
        </w:rPr>
        <w:t>技术规格偏离表</w:t>
      </w:r>
      <w:bookmarkEnd w:id="319"/>
      <w:bookmarkEnd w:id="320"/>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1" w:name="_Toc17691"/>
      <w:r>
        <w:rPr>
          <w:rFonts w:hint="eastAsia" w:ascii="宋体" w:hAnsi="宋体" w:eastAsia="宋体"/>
          <w:color w:val="auto"/>
          <w:sz w:val="21"/>
          <w:szCs w:val="21"/>
          <w:highlight w:val="none"/>
        </w:rPr>
        <w:br w:type="page"/>
      </w:r>
      <w:bookmarkEnd w:id="321"/>
      <w:bookmarkStart w:id="322" w:name="_Toc4464"/>
      <w:bookmarkStart w:id="323" w:name="_Toc26078"/>
      <w:bookmarkStart w:id="324" w:name="_Toc6080"/>
      <w:bookmarkStart w:id="325" w:name="_Toc1274"/>
      <w:bookmarkStart w:id="326" w:name="_Toc18668"/>
      <w:bookmarkStart w:id="327"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8" w:name="_Toc13461"/>
      <w:bookmarkStart w:id="329" w:name="_Toc10734"/>
      <w:r>
        <w:rPr>
          <w:rFonts w:hint="eastAsia"/>
          <w:color w:val="auto"/>
          <w:highlight w:val="none"/>
          <w:lang w:val="en-US" w:eastAsia="zh-CN"/>
        </w:rPr>
        <w:t>二、</w:t>
      </w:r>
      <w:r>
        <w:rPr>
          <w:rFonts w:hint="eastAsia"/>
          <w:color w:val="auto"/>
          <w:highlight w:val="none"/>
        </w:rPr>
        <w:t>重要技术参数（▲）响应表</w:t>
      </w:r>
      <w:bookmarkEnd w:id="322"/>
      <w:bookmarkEnd w:id="323"/>
      <w:bookmarkEnd w:id="324"/>
      <w:bookmarkEnd w:id="325"/>
      <w:bookmarkEnd w:id="326"/>
      <w:bookmarkEnd w:id="327"/>
      <w:bookmarkEnd w:id="328"/>
      <w:bookmarkEnd w:id="329"/>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0" w:name="_Toc27079"/>
            <w:bookmarkStart w:id="331" w:name="_Toc29560"/>
            <w:bookmarkStart w:id="332" w:name="_Toc29642"/>
            <w:r>
              <w:rPr>
                <w:rFonts w:hint="eastAsia" w:ascii="宋体" w:hAnsi="宋体" w:eastAsia="宋体" w:cs="宋体"/>
                <w:b w:val="0"/>
                <w:bCs w:val="0"/>
                <w:color w:val="auto"/>
                <w:sz w:val="21"/>
                <w:szCs w:val="21"/>
                <w:highlight w:val="none"/>
                <w:lang w:val="en-US" w:eastAsia="zh-CN"/>
              </w:rPr>
              <w:t>序号</w:t>
            </w:r>
            <w:bookmarkEnd w:id="330"/>
            <w:bookmarkEnd w:id="331"/>
            <w:bookmarkEnd w:id="332"/>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3" w:name="_Toc12049"/>
            <w:bookmarkStart w:id="334" w:name="_Toc16872"/>
            <w:bookmarkStart w:id="335" w:name="_Toc22448"/>
            <w:bookmarkStart w:id="336" w:name="_Toc4304"/>
            <w:bookmarkStart w:id="337" w:name="_Toc15368"/>
            <w:bookmarkStart w:id="338" w:name="_Toc14815"/>
            <w:bookmarkStart w:id="339" w:name="_Toc1016"/>
            <w:bookmarkStart w:id="340" w:name="_Toc21739"/>
            <w:bookmarkStart w:id="341" w:name="_Toc10045"/>
            <w:bookmarkStart w:id="342" w:name="_Toc2700"/>
            <w:bookmarkStart w:id="343" w:name="_Toc26124"/>
            <w:bookmarkStart w:id="344" w:name="_Toc27090"/>
            <w:bookmarkStart w:id="345" w:name="_Toc15903"/>
            <w:bookmarkStart w:id="346" w:name="_Toc24662"/>
            <w:bookmarkStart w:id="347" w:name="_Toc8312"/>
            <w:bookmarkStart w:id="348" w:name="_Toc27442"/>
            <w:bookmarkStart w:id="349" w:name="_Toc7333"/>
            <w:bookmarkStart w:id="350" w:name="_Toc32531"/>
            <w:bookmarkStart w:id="351" w:name="_Toc19251"/>
            <w:bookmarkStart w:id="352" w:name="_Toc21809"/>
            <w:bookmarkStart w:id="353" w:name="_Toc8490"/>
            <w:bookmarkStart w:id="354" w:name="_Toc22917"/>
            <w:bookmarkStart w:id="355" w:name="_Toc2287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bookmarkEnd w:id="348"/>
          <w:bookmarkEnd w:id="349"/>
          <w:bookmarkEnd w:id="350"/>
          <w:bookmarkEnd w:id="351"/>
          <w:bookmarkEnd w:id="352"/>
          <w:bookmarkEnd w:id="353"/>
          <w:bookmarkEnd w:id="354"/>
          <w:bookmarkEnd w:id="35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6" w:name="_Toc10122"/>
            <w:bookmarkStart w:id="357" w:name="_Toc2408"/>
            <w:bookmarkStart w:id="358" w:name="_Toc22153"/>
            <w:r>
              <w:rPr>
                <w:rFonts w:hint="eastAsia" w:ascii="宋体" w:hAnsi="宋体" w:eastAsia="宋体" w:cs="宋体"/>
                <w:b w:val="0"/>
                <w:bCs w:val="0"/>
                <w:color w:val="auto"/>
                <w:kern w:val="0"/>
                <w:sz w:val="21"/>
                <w:szCs w:val="21"/>
                <w:highlight w:val="none"/>
              </w:rPr>
              <w:t>投标文件响应内容</w:t>
            </w:r>
            <w:bookmarkEnd w:id="356"/>
            <w:bookmarkEnd w:id="357"/>
            <w:bookmarkEnd w:id="358"/>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9" w:name="_Toc27285"/>
            <w:bookmarkStart w:id="360" w:name="_Toc29838"/>
            <w:bookmarkStart w:id="361" w:name="_Toc16003"/>
            <w:bookmarkStart w:id="362" w:name="_Toc20820"/>
            <w:bookmarkStart w:id="363" w:name="_Toc5992"/>
            <w:bookmarkStart w:id="364" w:name="_Toc17296"/>
            <w:bookmarkStart w:id="365" w:name="_Toc20139"/>
            <w:bookmarkStart w:id="366" w:name="_Toc1912"/>
            <w:bookmarkStart w:id="367" w:name="_Toc3701"/>
            <w:bookmarkStart w:id="368" w:name="_Toc17642"/>
            <w:bookmarkStart w:id="369" w:name="_Toc5563"/>
            <w:bookmarkStart w:id="370" w:name="_Toc1330"/>
            <w:bookmarkStart w:id="371" w:name="_Toc27185"/>
            <w:r>
              <w:rPr>
                <w:rFonts w:hint="eastAsia" w:ascii="宋体" w:hAnsi="宋体" w:eastAsia="宋体" w:cs="宋体"/>
                <w:b w:val="0"/>
                <w:bCs w:val="0"/>
                <w:color w:val="auto"/>
                <w:sz w:val="21"/>
                <w:szCs w:val="21"/>
                <w:highlight w:val="none"/>
                <w:lang w:val="en-US" w:eastAsia="zh-CN"/>
              </w:rPr>
              <w:t>说明</w:t>
            </w:r>
            <w:bookmarkEnd w:id="359"/>
            <w:bookmarkEnd w:id="360"/>
            <w:bookmarkEnd w:id="361"/>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2" w:name="_Toc19105"/>
            <w:bookmarkStart w:id="373" w:name="_Toc857"/>
            <w:bookmarkStart w:id="374" w:name="_Toc3520"/>
            <w:r>
              <w:rPr>
                <w:rFonts w:hint="eastAsia" w:ascii="宋体" w:hAnsi="宋体" w:eastAsia="宋体" w:cs="宋体"/>
                <w:b w:val="0"/>
                <w:bCs w:val="0"/>
                <w:color w:val="auto"/>
                <w:sz w:val="21"/>
                <w:szCs w:val="21"/>
                <w:highlight w:val="none"/>
              </w:rPr>
              <w:t>页码范围</w:t>
            </w:r>
            <w:bookmarkEnd w:id="362"/>
            <w:bookmarkEnd w:id="363"/>
            <w:bookmarkEnd w:id="364"/>
            <w:bookmarkEnd w:id="365"/>
            <w:bookmarkEnd w:id="366"/>
            <w:bookmarkEnd w:id="367"/>
            <w:bookmarkEnd w:id="368"/>
            <w:bookmarkEnd w:id="369"/>
            <w:bookmarkEnd w:id="370"/>
            <w:bookmarkEnd w:id="371"/>
            <w:bookmarkEnd w:id="372"/>
            <w:bookmarkEnd w:id="373"/>
            <w:bookmarkEnd w:id="37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5" w:name="_Toc27139"/>
      <w:bookmarkStart w:id="376" w:name="_Toc19349"/>
      <w:r>
        <w:rPr>
          <w:rFonts w:hint="eastAsia"/>
          <w:color w:val="auto"/>
          <w:highlight w:val="none"/>
          <w:lang w:val="en-US" w:eastAsia="zh-CN"/>
        </w:rPr>
        <w:t>三、</w:t>
      </w:r>
      <w:r>
        <w:rPr>
          <w:rFonts w:hint="eastAsia"/>
          <w:color w:val="auto"/>
          <w:highlight w:val="none"/>
        </w:rPr>
        <w:t>实质性条款（标记★）投标响应表</w:t>
      </w:r>
      <w:bookmarkEnd w:id="375"/>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7"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6"/>
      <w:bookmarkEnd w:id="377"/>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8" w:name="_Toc26880"/>
      <w:bookmarkStart w:id="379" w:name="_Toc16328"/>
      <w:r>
        <w:rPr>
          <w:rFonts w:hint="eastAsia"/>
          <w:color w:val="auto"/>
          <w:highlight w:val="none"/>
          <w:lang w:val="en-US" w:eastAsia="zh-CN"/>
        </w:rPr>
        <w:t>五、项目负责人及团队成员资料表</w:t>
      </w:r>
      <w:bookmarkEnd w:id="378"/>
      <w:bookmarkEnd w:id="379"/>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80" w:name="_Toc26980"/>
      <w:bookmarkStart w:id="381" w:name="_Toc15431"/>
      <w:r>
        <w:rPr>
          <w:rFonts w:hint="eastAsia"/>
          <w:color w:val="auto"/>
          <w:highlight w:val="none"/>
          <w:lang w:val="en-US" w:eastAsia="zh-CN"/>
        </w:rPr>
        <w:t>六、投标货物明细一览表</w:t>
      </w:r>
      <w:bookmarkEnd w:id="380"/>
      <w:bookmarkEnd w:id="381"/>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2" w:name="_Toc6961"/>
      <w:r>
        <w:rPr>
          <w:rFonts w:hint="eastAsia"/>
          <w:color w:val="auto"/>
          <w:highlight w:val="none"/>
          <w:lang w:val="en-US" w:eastAsia="zh-CN"/>
        </w:rPr>
        <w:t>七、政府采购履约担保函</w:t>
      </w:r>
      <w:bookmarkEnd w:id="38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26772"/>
      <w:bookmarkStart w:id="384" w:name="_Toc26782"/>
      <w:r>
        <w:rPr>
          <w:rFonts w:hint="eastAsia"/>
          <w:color w:val="auto"/>
          <w:highlight w:val="none"/>
          <w:lang w:val="en-US" w:eastAsia="zh-CN"/>
        </w:rPr>
        <w:t>第四章唱标信封（单独封装）</w:t>
      </w:r>
      <w:bookmarkEnd w:id="383"/>
      <w:bookmarkEnd w:id="38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5"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pStyle w:val="8"/>
        <w:rPr>
          <w:rFonts w:hint="eastAsia"/>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6" w:name="_Toc22736"/>
      <w:bookmarkStart w:id="387" w:name="_Toc2710"/>
      <w:r>
        <w:rPr>
          <w:rFonts w:hint="eastAsia"/>
          <w:color w:val="auto"/>
          <w:highlight w:val="none"/>
          <w:lang w:val="en-US" w:eastAsia="zh-CN"/>
        </w:rPr>
        <w:t>第五章联合体共同投标协议书（如有需要）</w:t>
      </w:r>
      <w:bookmarkEnd w:id="386"/>
      <w:bookmarkEnd w:id="38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5"/>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人民币150元/份</w:t>
            </w:r>
          </w:p>
        </w:tc>
      </w:tr>
      <w:tr>
        <w:tblPrEx>
          <w:shd w:val="clear" w:color="auto" w:fill="auto"/>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b/>
                <w:bCs/>
                <w:color w:val="auto"/>
                <w:sz w:val="32"/>
                <w:szCs w:val="32"/>
                <w:highlight w:val="none"/>
              </w:rPr>
              <w:t>注：开完发票后请把报名表格交还至前台</w:t>
            </w:r>
          </w:p>
        </w:tc>
      </w:tr>
    </w:tbl>
    <w:p>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3EA5546"/>
    <w:rsid w:val="04DF1036"/>
    <w:rsid w:val="050F6021"/>
    <w:rsid w:val="05A97DEC"/>
    <w:rsid w:val="05C81981"/>
    <w:rsid w:val="065A32ED"/>
    <w:rsid w:val="06BC41F2"/>
    <w:rsid w:val="06DE0C21"/>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15378A"/>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C044BE"/>
    <w:rsid w:val="0BDF26F7"/>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E2206C"/>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230A97"/>
    <w:rsid w:val="203168A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426EB5"/>
    <w:rsid w:val="258C3BEC"/>
    <w:rsid w:val="25E576CC"/>
    <w:rsid w:val="260E3862"/>
    <w:rsid w:val="261F752D"/>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1A624B"/>
    <w:rsid w:val="2A8B589E"/>
    <w:rsid w:val="2A8D4F8F"/>
    <w:rsid w:val="2A911082"/>
    <w:rsid w:val="2A917B34"/>
    <w:rsid w:val="2AE3766F"/>
    <w:rsid w:val="2B7E4054"/>
    <w:rsid w:val="2BF22742"/>
    <w:rsid w:val="2C523754"/>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251257"/>
    <w:rsid w:val="308C7755"/>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794DEF"/>
    <w:rsid w:val="36AD519D"/>
    <w:rsid w:val="36B57705"/>
    <w:rsid w:val="374F1A0B"/>
    <w:rsid w:val="37A103ED"/>
    <w:rsid w:val="37EA5E6E"/>
    <w:rsid w:val="37FF016F"/>
    <w:rsid w:val="38427C0B"/>
    <w:rsid w:val="387C5ABE"/>
    <w:rsid w:val="389B3A1E"/>
    <w:rsid w:val="38EB6119"/>
    <w:rsid w:val="39744094"/>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415B04"/>
    <w:rsid w:val="3E0572FD"/>
    <w:rsid w:val="3E1A5292"/>
    <w:rsid w:val="3E5A7FE7"/>
    <w:rsid w:val="3EC8179E"/>
    <w:rsid w:val="3EF66B2E"/>
    <w:rsid w:val="3F217914"/>
    <w:rsid w:val="3F942B76"/>
    <w:rsid w:val="3F9C080C"/>
    <w:rsid w:val="3FD70BB0"/>
    <w:rsid w:val="3FFB55AC"/>
    <w:rsid w:val="401C5F9D"/>
    <w:rsid w:val="401C690C"/>
    <w:rsid w:val="401D7195"/>
    <w:rsid w:val="405F1BE4"/>
    <w:rsid w:val="40A51286"/>
    <w:rsid w:val="40CE3DC0"/>
    <w:rsid w:val="40D7455A"/>
    <w:rsid w:val="40E743E5"/>
    <w:rsid w:val="4110038E"/>
    <w:rsid w:val="41734CBA"/>
    <w:rsid w:val="41DD7057"/>
    <w:rsid w:val="420F7A65"/>
    <w:rsid w:val="4216611A"/>
    <w:rsid w:val="423E300F"/>
    <w:rsid w:val="425656C8"/>
    <w:rsid w:val="4257273C"/>
    <w:rsid w:val="425D7213"/>
    <w:rsid w:val="42677B61"/>
    <w:rsid w:val="42756DB0"/>
    <w:rsid w:val="42B21AD2"/>
    <w:rsid w:val="42C62C31"/>
    <w:rsid w:val="42FD694D"/>
    <w:rsid w:val="434A6D8F"/>
    <w:rsid w:val="43FA5777"/>
    <w:rsid w:val="44044D92"/>
    <w:rsid w:val="441C1611"/>
    <w:rsid w:val="443C440B"/>
    <w:rsid w:val="443F7DBF"/>
    <w:rsid w:val="44514F52"/>
    <w:rsid w:val="448965CB"/>
    <w:rsid w:val="44A21ACD"/>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4452CC"/>
    <w:rsid w:val="4B560086"/>
    <w:rsid w:val="4B7501F5"/>
    <w:rsid w:val="4B8C2DEB"/>
    <w:rsid w:val="4BFA3C9F"/>
    <w:rsid w:val="4C0E3379"/>
    <w:rsid w:val="4C107F48"/>
    <w:rsid w:val="4C3277BC"/>
    <w:rsid w:val="4C686851"/>
    <w:rsid w:val="4CC353EB"/>
    <w:rsid w:val="4CF36F3C"/>
    <w:rsid w:val="4D4F67BA"/>
    <w:rsid w:val="4D603399"/>
    <w:rsid w:val="4D867EE1"/>
    <w:rsid w:val="4DBC4C65"/>
    <w:rsid w:val="4DF6568D"/>
    <w:rsid w:val="4E2E1A80"/>
    <w:rsid w:val="4E550010"/>
    <w:rsid w:val="4E5F14CB"/>
    <w:rsid w:val="4F3705F8"/>
    <w:rsid w:val="4FAC3540"/>
    <w:rsid w:val="4FBB12F4"/>
    <w:rsid w:val="4FCF1583"/>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337E1F"/>
    <w:rsid w:val="54693932"/>
    <w:rsid w:val="549A6BFA"/>
    <w:rsid w:val="54E72921"/>
    <w:rsid w:val="55806F07"/>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5FF313C9"/>
    <w:rsid w:val="60292845"/>
    <w:rsid w:val="61027308"/>
    <w:rsid w:val="612E1A5D"/>
    <w:rsid w:val="61816046"/>
    <w:rsid w:val="62182687"/>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C35C0B"/>
    <w:rsid w:val="681233D2"/>
    <w:rsid w:val="681D5EE5"/>
    <w:rsid w:val="68652AB3"/>
    <w:rsid w:val="6895578E"/>
    <w:rsid w:val="689F1926"/>
    <w:rsid w:val="68AD17BB"/>
    <w:rsid w:val="68C31A73"/>
    <w:rsid w:val="68D94D22"/>
    <w:rsid w:val="692B2E4A"/>
    <w:rsid w:val="694303FB"/>
    <w:rsid w:val="695B0582"/>
    <w:rsid w:val="696A0B34"/>
    <w:rsid w:val="698D6A17"/>
    <w:rsid w:val="69A233E7"/>
    <w:rsid w:val="69EE3535"/>
    <w:rsid w:val="69F954C1"/>
    <w:rsid w:val="6A2031B6"/>
    <w:rsid w:val="6A440C53"/>
    <w:rsid w:val="6AC61F6F"/>
    <w:rsid w:val="6ADE74F0"/>
    <w:rsid w:val="6B1002C0"/>
    <w:rsid w:val="6B1F5CFA"/>
    <w:rsid w:val="6B723594"/>
    <w:rsid w:val="6B805156"/>
    <w:rsid w:val="6B960BE3"/>
    <w:rsid w:val="6BD50977"/>
    <w:rsid w:val="6BEA2A9B"/>
    <w:rsid w:val="6C9C0875"/>
    <w:rsid w:val="6C9D1F03"/>
    <w:rsid w:val="6CAA3931"/>
    <w:rsid w:val="6CC24D32"/>
    <w:rsid w:val="6CC90380"/>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224EE9"/>
    <w:rsid w:val="706516C3"/>
    <w:rsid w:val="70864A71"/>
    <w:rsid w:val="70896E68"/>
    <w:rsid w:val="714556B4"/>
    <w:rsid w:val="715B60E9"/>
    <w:rsid w:val="719B5A85"/>
    <w:rsid w:val="71E96309"/>
    <w:rsid w:val="71EA1FED"/>
    <w:rsid w:val="72284A0C"/>
    <w:rsid w:val="722E1958"/>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D2E5ABF"/>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18</TotalTime>
  <ScaleCrop>false</ScaleCrop>
  <LinksUpToDate>false</LinksUpToDate>
  <CharactersWithSpaces>35801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Lu</cp:lastModifiedBy>
  <cp:lastPrinted>2021-04-23T09:50:00Z</cp:lastPrinted>
  <dcterms:modified xsi:type="dcterms:W3CDTF">2021-10-27T02:40:25Z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FA883B9110314357BCCB0107BE1C437D</vt:lpwstr>
  </property>
</Properties>
</file>