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color w:val="auto"/>
          <w:sz w:val="32"/>
          <w:szCs w:val="32"/>
          <w:highlight w:val="none"/>
          <w:lang w:val="en-US" w:eastAsia="zh-CN"/>
        </w:rPr>
      </w:pPr>
    </w:p>
    <w:p>
      <w:pPr>
        <w:jc w:val="center"/>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竞争性磋商文件</w:t>
      </w:r>
    </w:p>
    <w:p>
      <w:pPr>
        <w:jc w:val="center"/>
        <w:rPr>
          <w:rFonts w:hint="eastAsia"/>
          <w:color w:val="auto"/>
          <w:highlight w:val="none"/>
        </w:rPr>
      </w:pPr>
      <w:r>
        <w:rPr>
          <w:rFonts w:hint="eastAsia" w:ascii="黑体" w:hAnsi="黑体" w:eastAsia="黑体" w:cs="黑体"/>
          <w:b w:val="0"/>
          <w:bCs/>
          <w:color w:val="auto"/>
          <w:spacing w:val="57"/>
          <w:sz w:val="72"/>
          <w:szCs w:val="72"/>
          <w:highlight w:val="none"/>
        </w:rPr>
        <w:t>东莞市政府采购</w:t>
      </w:r>
    </w:p>
    <w:p>
      <w:pPr>
        <w:pStyle w:val="7"/>
        <w:jc w:val="center"/>
        <w:rPr>
          <w:rFonts w:hint="eastAsia" w:ascii="黑体" w:eastAsia="黑体"/>
          <w:color w:val="auto"/>
          <w:szCs w:val="21"/>
          <w:highlight w:val="none"/>
          <w:lang w:eastAsia="zh-CN"/>
        </w:rPr>
      </w:pPr>
      <w:r>
        <w:rPr>
          <w:rFonts w:hint="eastAsia" w:ascii="黑体" w:eastAsia="黑体"/>
          <w:color w:val="auto"/>
          <w:szCs w:val="21"/>
          <w:highlight w:val="none"/>
          <w:lang w:eastAsia="zh-CN"/>
        </w:rPr>
        <w:drawing>
          <wp:inline distT="0" distB="0" distL="114300" distR="114300">
            <wp:extent cx="2129790" cy="2035175"/>
            <wp:effectExtent l="0" t="0" r="3810" b="317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2129790" cy="2035175"/>
                    </a:xfrm>
                    <a:prstGeom prst="rect">
                      <a:avLst/>
                    </a:prstGeom>
                  </pic:spPr>
                </pic:pic>
              </a:graphicData>
            </a:graphic>
          </wp:inline>
        </w:drawing>
      </w:r>
    </w:p>
    <w:p>
      <w:pPr>
        <w:pStyle w:val="8"/>
        <w:rPr>
          <w:rFonts w:hint="eastAsia" w:ascii="黑体" w:eastAsia="黑体"/>
          <w:color w:val="auto"/>
          <w:szCs w:val="21"/>
          <w:highlight w:val="none"/>
          <w:lang w:eastAsia="zh-CN"/>
        </w:rPr>
      </w:pPr>
    </w:p>
    <w:p>
      <w:pPr>
        <w:pStyle w:val="8"/>
        <w:ind w:left="0" w:leftChars="0" w:firstLine="0" w:firstLineChars="0"/>
        <w:rPr>
          <w:rFonts w:hint="eastAsia" w:ascii="黑体" w:eastAsia="黑体"/>
          <w:color w:val="auto"/>
          <w:szCs w:val="21"/>
          <w:highlight w:val="none"/>
          <w:lang w:eastAsia="zh-CN"/>
        </w:rPr>
      </w:pPr>
    </w:p>
    <w:tbl>
      <w:tblPr>
        <w:tblStyle w:val="23"/>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00"/>
        <w:gridCol w:w="5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lang w:val="en-US" w:eastAsia="zh-CN"/>
              </w:rPr>
              <w:t>项目编号</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横沥镇政府路面改造工程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441900014-2021-00730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lang w:val="en-US" w:eastAsia="zh-CN"/>
              </w:rPr>
              <w:t>盖章</w:t>
            </w:r>
            <w:r>
              <w:rPr>
                <w:rFonts w:hint="eastAsia" w:ascii="黑体" w:hAnsi="黑体" w:eastAsia="黑体" w:cs="黑体"/>
                <w:bCs/>
                <w:color w:val="auto"/>
                <w:sz w:val="32"/>
                <w:szCs w:val="24"/>
                <w:highlight w:val="none"/>
                <w:lang w:eastAsia="zh-CN"/>
              </w:rPr>
              <w:t>）</w:t>
            </w:r>
            <w:r>
              <w:rPr>
                <w:rFonts w:hint="eastAsia" w:ascii="黑体" w:hAnsi="黑体" w:eastAsia="黑体" w:cs="黑体"/>
                <w:bCs/>
                <w:color w:val="auto"/>
                <w:sz w:val="32"/>
                <w:szCs w:val="24"/>
                <w:highlight w:val="none"/>
              </w:rPr>
              <w:t>：</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横沥镇机关事务管理中心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3100" w:type="dxa"/>
            <w:noWrap/>
            <w:vAlign w:val="center"/>
          </w:tcPr>
          <w:p>
            <w:pPr>
              <w:spacing w:before="200"/>
              <w:jc w:val="both"/>
              <w:rPr>
                <w:rFonts w:hint="eastAsia" w:ascii="黑体" w:hAnsi="黑体" w:eastAsia="黑体" w:cs="黑体"/>
                <w:bCs/>
                <w:color w:val="auto"/>
                <w:sz w:val="32"/>
                <w:szCs w:val="24"/>
                <w:highlight w:val="none"/>
                <w:lang w:val="en-US" w:eastAsia="zh-CN"/>
              </w:rPr>
            </w:pPr>
            <w:r>
              <w:rPr>
                <w:rFonts w:hint="eastAsia" w:ascii="黑体" w:hAnsi="黑体" w:eastAsia="黑体" w:cs="黑体"/>
                <w:bCs/>
                <w:color w:val="auto"/>
                <w:sz w:val="32"/>
                <w:szCs w:val="24"/>
                <w:highlight w:val="none"/>
                <w:lang w:val="en-US" w:eastAsia="zh-CN"/>
              </w:rPr>
              <w:t>招标代理（盖章）：</w:t>
            </w:r>
          </w:p>
        </w:tc>
        <w:tc>
          <w:tcPr>
            <w:tcW w:w="5716"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sz w:val="32"/>
                <w:szCs w:val="24"/>
                <w:highlight w:val="none"/>
                <w:lang w:eastAsia="zh-CN"/>
              </w:rPr>
              <w:t>广东政通招标有限公司</w:t>
            </w:r>
          </w:p>
        </w:tc>
      </w:tr>
    </w:tbl>
    <w:p>
      <w:pPr>
        <w:jc w:val="both"/>
        <w:rPr>
          <w:rFonts w:ascii="黑体" w:eastAsia="黑体"/>
          <w:color w:val="auto"/>
          <w:szCs w:val="21"/>
          <w:highlight w:val="none"/>
        </w:rPr>
      </w:pPr>
    </w:p>
    <w:p>
      <w:pPr>
        <w:pStyle w:val="20"/>
        <w:rPr>
          <w:color w:val="auto"/>
          <w:sz w:val="32"/>
          <w:szCs w:val="32"/>
          <w:highlight w:val="none"/>
        </w:rPr>
        <w:sectPr>
          <w:headerReference r:id="rId6" w:type="first"/>
          <w:footerReference r:id="rId8" w:type="first"/>
          <w:headerReference r:id="rId5" w:type="default"/>
          <w:footerReference r:id="rId7" w:type="default"/>
          <w:pgSz w:w="11906" w:h="16838"/>
          <w:pgMar w:top="1440" w:right="1800" w:bottom="1440" w:left="1800" w:header="708" w:footer="708" w:gutter="0"/>
          <w:pgBorders>
            <w:top w:val="none" w:sz="0" w:space="0"/>
            <w:left w:val="none" w:sz="0" w:space="0"/>
            <w:bottom w:val="none" w:sz="0" w:space="0"/>
            <w:right w:val="none" w:sz="0" w:space="0"/>
          </w:pgBorders>
          <w:pgNumType w:fmt="decimal" w:start="1"/>
          <w:cols w:space="708" w:num="1"/>
          <w:titlePg/>
          <w:docGrid w:type="lines" w:linePitch="360" w:charSpace="0"/>
        </w:sect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温馨提示</w:t>
      </w:r>
    </w:p>
    <w:p>
      <w:pPr>
        <w:keepNext w:val="0"/>
        <w:keepLines w:val="0"/>
        <w:pageBreakBefore w:val="0"/>
        <w:widowControl/>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rPr>
        <w:t>（本提示内容非</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的组成部分，仅</w:t>
      </w:r>
      <w:r>
        <w:rPr>
          <w:rFonts w:hint="eastAsia" w:ascii="宋体" w:hAnsi="宋体" w:eastAsia="宋体" w:cs="宋体"/>
          <w:b/>
          <w:bCs w:val="0"/>
          <w:color w:val="auto"/>
          <w:sz w:val="21"/>
          <w:szCs w:val="21"/>
          <w:highlight w:val="none"/>
          <w:u w:val="none"/>
          <w:lang w:val="en-US" w:eastAsia="zh-CN"/>
        </w:rPr>
        <w:t>起</w:t>
      </w:r>
      <w:r>
        <w:rPr>
          <w:rFonts w:hint="eastAsia" w:ascii="宋体" w:hAnsi="宋体" w:eastAsia="宋体" w:cs="宋体"/>
          <w:b/>
          <w:bCs w:val="0"/>
          <w:color w:val="auto"/>
          <w:sz w:val="21"/>
          <w:szCs w:val="21"/>
          <w:highlight w:val="none"/>
          <w:u w:val="none"/>
        </w:rPr>
        <w:t>提醒</w:t>
      </w:r>
      <w:r>
        <w:rPr>
          <w:rFonts w:hint="eastAsia" w:ascii="宋体" w:hAnsi="宋体" w:eastAsia="宋体" w:cs="宋体"/>
          <w:b/>
          <w:bCs w:val="0"/>
          <w:color w:val="auto"/>
          <w:sz w:val="21"/>
          <w:szCs w:val="21"/>
          <w:highlight w:val="none"/>
          <w:u w:val="none"/>
          <w:lang w:val="en-US" w:eastAsia="zh-CN"/>
        </w:rPr>
        <w:t>作用</w:t>
      </w:r>
      <w:r>
        <w:rPr>
          <w:rFonts w:hint="eastAsia" w:ascii="宋体" w:hAnsi="宋体" w:eastAsia="宋体" w:cs="宋体"/>
          <w:b/>
          <w:bCs w:val="0"/>
          <w:color w:val="auto"/>
          <w:sz w:val="21"/>
          <w:szCs w:val="21"/>
          <w:highlight w:val="none"/>
          <w:u w:val="none"/>
        </w:rPr>
        <w:t>；如有不一致，以</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为准）</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w:t>
      </w:r>
      <w:r>
        <w:rPr>
          <w:rFonts w:hint="eastAsia" w:ascii="宋体" w:hAnsi="宋体" w:eastAsia="宋体" w:cs="宋体"/>
          <w:b/>
          <w:bCs w:val="0"/>
          <w:color w:val="auto"/>
          <w:sz w:val="21"/>
          <w:szCs w:val="21"/>
          <w:highlight w:val="none"/>
          <w:u w:val="none"/>
        </w:rPr>
        <w:t>请各供应商在制作</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时认真阅读本</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的内容。</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凡参与本项目政府采购活动的供应商需访问并登录广东省政府采购网的广东政府采购智慧云平台（https://gdgpo.czt.gd.gov.cn/）进行注册建档入库，供应商在使用过程中遇到涉及系统使用的任何问题，可致电云平台技术支持热线400-183-2999进行咨询。</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3、</w:t>
      </w:r>
      <w:r>
        <w:rPr>
          <w:rFonts w:hint="eastAsia" w:ascii="宋体" w:hAnsi="宋体" w:eastAsia="宋体" w:cs="宋体"/>
          <w:b/>
          <w:bCs w:val="0"/>
          <w:color w:val="auto"/>
          <w:sz w:val="21"/>
          <w:szCs w:val="21"/>
          <w:highlight w:val="none"/>
          <w:u w:val="none"/>
        </w:rPr>
        <w:t>建议供应商将</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正本、副本、</w:t>
      </w:r>
      <w:r>
        <w:rPr>
          <w:rFonts w:hint="eastAsia" w:ascii="宋体" w:hAnsi="宋体" w:cs="宋体"/>
          <w:b/>
          <w:bCs w:val="0"/>
          <w:color w:val="auto"/>
          <w:sz w:val="21"/>
          <w:szCs w:val="21"/>
          <w:highlight w:val="none"/>
          <w:u w:val="none"/>
          <w:lang w:eastAsia="zh-CN"/>
        </w:rPr>
        <w:t>报价</w:t>
      </w:r>
      <w:r>
        <w:rPr>
          <w:rFonts w:hint="eastAsia" w:ascii="宋体" w:hAnsi="宋体" w:eastAsia="宋体" w:cs="宋体"/>
          <w:b/>
          <w:bCs w:val="0"/>
          <w:color w:val="auto"/>
          <w:sz w:val="21"/>
          <w:szCs w:val="21"/>
          <w:highlight w:val="none"/>
          <w:u w:val="none"/>
        </w:rPr>
        <w:t>信封分别密封包装，并按照</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“第</w:t>
      </w: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部分</w:t>
      </w:r>
      <w:r>
        <w:rPr>
          <w:rFonts w:hint="eastAsia" w:ascii="宋体" w:hAnsi="宋体" w:eastAsia="宋体" w:cs="宋体"/>
          <w:b/>
          <w:bCs w:val="0"/>
          <w:color w:val="auto"/>
          <w:sz w:val="21"/>
          <w:szCs w:val="21"/>
          <w:highlight w:val="none"/>
          <w:u w:val="none"/>
        </w:rPr>
        <w:t xml:space="preserve"> </w:t>
      </w:r>
      <w:r>
        <w:rPr>
          <w:rFonts w:hint="eastAsia" w:ascii="宋体" w:hAnsi="宋体" w:cs="宋体"/>
          <w:b/>
          <w:bCs w:val="0"/>
          <w:color w:val="auto"/>
          <w:sz w:val="21"/>
          <w:szCs w:val="21"/>
          <w:highlight w:val="none"/>
          <w:u w:val="none"/>
          <w:lang w:eastAsia="zh-CN"/>
        </w:rPr>
        <w:t>供应商</w:t>
      </w:r>
      <w:r>
        <w:rPr>
          <w:rFonts w:hint="eastAsia" w:ascii="宋体" w:hAnsi="宋体" w:eastAsia="宋体" w:cs="宋体"/>
          <w:b/>
          <w:bCs w:val="0"/>
          <w:color w:val="auto"/>
          <w:sz w:val="21"/>
          <w:szCs w:val="21"/>
          <w:highlight w:val="none"/>
          <w:u w:val="none"/>
        </w:rPr>
        <w:t xml:space="preserve">须知 </w:t>
      </w:r>
      <w:r>
        <w:rPr>
          <w:rFonts w:hint="eastAsia" w:ascii="宋体" w:hAnsi="宋体" w:eastAsia="宋体" w:cs="宋体"/>
          <w:b/>
          <w:bCs w:val="0"/>
          <w:color w:val="auto"/>
          <w:sz w:val="21"/>
          <w:szCs w:val="21"/>
          <w:highlight w:val="none"/>
          <w:u w:val="none"/>
          <w:lang w:val="en-US" w:eastAsia="zh-CN"/>
        </w:rPr>
        <w:t>第四章</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的递交”中相关要求进行提交，避免因密封包装不符合要求而导致</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被退回。</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4、</w:t>
      </w:r>
      <w:r>
        <w:rPr>
          <w:rFonts w:hint="eastAsia" w:ascii="宋体" w:hAnsi="宋体" w:eastAsia="宋体" w:cs="宋体"/>
          <w:b/>
          <w:bCs w:val="0"/>
          <w:color w:val="auto"/>
          <w:sz w:val="21"/>
          <w:szCs w:val="21"/>
          <w:highlight w:val="none"/>
          <w:u w:val="none"/>
        </w:rPr>
        <w:t>请正确填写《</w:t>
      </w:r>
      <w:r>
        <w:rPr>
          <w:rFonts w:hint="eastAsia" w:ascii="宋体" w:hAnsi="宋体" w:cs="宋体"/>
          <w:b/>
          <w:bCs w:val="0"/>
          <w:color w:val="auto"/>
          <w:sz w:val="21"/>
          <w:szCs w:val="21"/>
          <w:highlight w:val="none"/>
          <w:u w:val="none"/>
          <w:lang w:val="en-US" w:eastAsia="zh-CN"/>
        </w:rPr>
        <w:t>报价</w:t>
      </w:r>
      <w:r>
        <w:rPr>
          <w:rFonts w:hint="eastAsia" w:ascii="宋体" w:hAnsi="宋体" w:eastAsia="宋体" w:cs="宋体"/>
          <w:b/>
          <w:bCs w:val="0"/>
          <w:color w:val="auto"/>
          <w:sz w:val="21"/>
          <w:szCs w:val="21"/>
          <w:highlight w:val="none"/>
          <w:u w:val="none"/>
        </w:rPr>
        <w:t>一览表》。多包项目请仔细检查包组号，包组号跟包组名称必须一致。</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5、</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应</w:t>
      </w:r>
      <w:r>
        <w:rPr>
          <w:rFonts w:hint="eastAsia" w:ascii="宋体" w:hAnsi="宋体" w:eastAsia="宋体" w:cs="宋体"/>
          <w:b/>
          <w:bCs w:val="0"/>
          <w:color w:val="auto"/>
          <w:sz w:val="21"/>
          <w:szCs w:val="21"/>
          <w:highlight w:val="none"/>
          <w:u w:val="none"/>
          <w:lang w:val="en-US" w:eastAsia="zh-CN"/>
        </w:rPr>
        <w:t>编制目录及</w:t>
      </w:r>
      <w:r>
        <w:rPr>
          <w:rFonts w:hint="eastAsia" w:ascii="宋体" w:hAnsi="宋体" w:eastAsia="宋体" w:cs="宋体"/>
          <w:b/>
          <w:bCs w:val="0"/>
          <w:color w:val="auto"/>
          <w:sz w:val="21"/>
          <w:szCs w:val="21"/>
          <w:highlight w:val="none"/>
          <w:u w:val="none"/>
        </w:rPr>
        <w:t>按顺序编制页码。</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6、</w:t>
      </w:r>
      <w:r>
        <w:rPr>
          <w:rFonts w:hint="eastAsia" w:ascii="宋体" w:hAnsi="宋体" w:eastAsia="宋体" w:cs="宋体"/>
          <w:b/>
          <w:bCs w:val="0"/>
          <w:color w:val="auto"/>
          <w:sz w:val="21"/>
          <w:szCs w:val="21"/>
          <w:highlight w:val="none"/>
          <w:u w:val="none"/>
        </w:rPr>
        <w:t>请仔细检查</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是否已按</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盖章、签名(或盖私章)、签署日期。</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7、加</w:t>
      </w:r>
      <w:r>
        <w:rPr>
          <w:rFonts w:hint="eastAsia" w:ascii="宋体" w:hAnsi="宋体" w:eastAsia="宋体" w:cs="宋体"/>
          <w:b/>
          <w:bCs w:val="0"/>
          <w:color w:val="auto"/>
          <w:sz w:val="21"/>
          <w:szCs w:val="21"/>
          <w:highlight w:val="none"/>
          <w:u w:val="none"/>
        </w:rPr>
        <w:t>★号</w:t>
      </w:r>
      <w:r>
        <w:rPr>
          <w:rFonts w:hint="eastAsia" w:ascii="宋体" w:hAnsi="宋体" w:eastAsia="宋体" w:cs="宋体"/>
          <w:b/>
          <w:bCs w:val="0"/>
          <w:color w:val="auto"/>
          <w:sz w:val="21"/>
          <w:szCs w:val="21"/>
          <w:highlight w:val="none"/>
          <w:u w:val="none"/>
          <w:lang w:val="en-US" w:eastAsia="zh-CN"/>
        </w:rPr>
        <w:t>条款</w:t>
      </w:r>
      <w:r>
        <w:rPr>
          <w:rFonts w:hint="eastAsia" w:ascii="宋体" w:hAnsi="宋体" w:eastAsia="宋体" w:cs="宋体"/>
          <w:b/>
          <w:bCs w:val="0"/>
          <w:color w:val="auto"/>
          <w:sz w:val="21"/>
          <w:szCs w:val="21"/>
          <w:highlight w:val="none"/>
          <w:u w:val="none"/>
        </w:rPr>
        <w:t>必须完全响应，不响应或负偏离将导致</w:t>
      </w:r>
      <w:r>
        <w:rPr>
          <w:rFonts w:hint="eastAsia" w:ascii="宋体" w:hAnsi="宋体" w:cs="宋体"/>
          <w:b/>
          <w:bCs w:val="0"/>
          <w:color w:val="auto"/>
          <w:sz w:val="21"/>
          <w:szCs w:val="21"/>
          <w:highlight w:val="none"/>
          <w:u w:val="none"/>
          <w:lang w:val="en-US" w:eastAsia="zh-CN"/>
        </w:rPr>
        <w:t>响应文件</w:t>
      </w:r>
      <w:r>
        <w:rPr>
          <w:rFonts w:hint="eastAsia" w:ascii="宋体" w:hAnsi="宋体" w:eastAsia="宋体" w:cs="宋体"/>
          <w:b/>
          <w:bCs w:val="0"/>
          <w:color w:val="auto"/>
          <w:sz w:val="21"/>
          <w:szCs w:val="21"/>
          <w:highlight w:val="none"/>
          <w:u w:val="none"/>
        </w:rPr>
        <w:t>无效</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8、</w:t>
      </w:r>
      <w:r>
        <w:rPr>
          <w:rFonts w:hint="eastAsia" w:ascii="宋体" w:hAnsi="宋体" w:eastAsia="宋体" w:cs="宋体"/>
          <w:b/>
          <w:bCs w:val="0"/>
          <w:color w:val="auto"/>
          <w:sz w:val="21"/>
          <w:szCs w:val="21"/>
          <w:highlight w:val="none"/>
          <w:u w:val="none"/>
        </w:rPr>
        <w:t>为避免因迟到而无法按时递交</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，供应商</w:t>
      </w:r>
      <w:r>
        <w:rPr>
          <w:rFonts w:hint="eastAsia" w:ascii="宋体" w:hAnsi="宋体" w:eastAsia="宋体" w:cs="宋体"/>
          <w:b/>
          <w:bCs w:val="0"/>
          <w:color w:val="auto"/>
          <w:sz w:val="21"/>
          <w:szCs w:val="21"/>
          <w:highlight w:val="none"/>
          <w:u w:val="none"/>
          <w:lang w:val="en-US" w:eastAsia="zh-CN"/>
        </w:rPr>
        <w:t>应自行计算路途可能出现塞车的时间，建议</w:t>
      </w:r>
      <w:r>
        <w:rPr>
          <w:rFonts w:hint="eastAsia" w:ascii="宋体" w:hAnsi="宋体" w:eastAsia="宋体" w:cs="宋体"/>
          <w:b/>
          <w:bCs w:val="0"/>
          <w:color w:val="auto"/>
          <w:sz w:val="21"/>
          <w:szCs w:val="21"/>
          <w:highlight w:val="none"/>
          <w:u w:val="none"/>
        </w:rPr>
        <w:t>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递交截止时间之前30分钟内到达开标地点</w:t>
      </w:r>
      <w:r>
        <w:rPr>
          <w:rFonts w:hint="eastAsia" w:ascii="宋体" w:hAnsi="宋体" w:eastAsia="宋体" w:cs="宋体"/>
          <w:b/>
          <w:bCs w:val="0"/>
          <w:color w:val="auto"/>
          <w:sz w:val="21"/>
          <w:szCs w:val="21"/>
          <w:highlight w:val="none"/>
          <w:u w:val="none"/>
          <w:lang w:eastAsia="zh-CN"/>
        </w:rPr>
        <w:t>，</w:t>
      </w:r>
      <w:r>
        <w:rPr>
          <w:rFonts w:hint="eastAsia" w:ascii="宋体" w:hAnsi="宋体" w:cs="宋体"/>
          <w:b/>
          <w:bCs w:val="0"/>
          <w:color w:val="auto"/>
          <w:sz w:val="21"/>
          <w:szCs w:val="21"/>
          <w:highlight w:val="none"/>
          <w:u w:val="none"/>
          <w:lang w:val="en-US" w:eastAsia="zh-CN"/>
        </w:rPr>
        <w:t>响应</w:t>
      </w:r>
      <w:r>
        <w:rPr>
          <w:rFonts w:hint="eastAsia" w:ascii="宋体" w:hAnsi="宋体" w:eastAsia="宋体" w:cs="宋体"/>
          <w:b/>
          <w:bCs w:val="0"/>
          <w:color w:val="auto"/>
          <w:sz w:val="21"/>
          <w:szCs w:val="21"/>
          <w:highlight w:val="none"/>
          <w:u w:val="none"/>
          <w:lang w:eastAsia="zh-CN"/>
        </w:rPr>
        <w:t>截止时间一到，本公司不接收任何</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lang w:eastAsia="zh-CN"/>
        </w:rPr>
        <w:t>。</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9、</w:t>
      </w:r>
      <w:r>
        <w:rPr>
          <w:rFonts w:hint="eastAsia" w:ascii="宋体" w:hAnsi="宋体" w:eastAsia="宋体" w:cs="宋体"/>
          <w:b/>
          <w:bCs w:val="0"/>
          <w:color w:val="auto"/>
          <w:sz w:val="21"/>
          <w:szCs w:val="21"/>
          <w:highlight w:val="none"/>
          <w:u w:val="none"/>
        </w:rPr>
        <w:t>请各供应商缴纳</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保证金前务必核对正确的缴纳账户，由于错缴、误缴而导致未按项目缴纳</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保证金的情况将由供应商自行负责。</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val="en-US" w:eastAsia="zh-CN"/>
        </w:rPr>
        <w:t>10、</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保证金必须于</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递交截止时间前到达</w:t>
      </w:r>
      <w:r>
        <w:rPr>
          <w:rFonts w:hint="eastAsia" w:ascii="宋体" w:hAnsi="宋体" w:eastAsia="宋体" w:cs="宋体"/>
          <w:b/>
          <w:bCs w:val="0"/>
          <w:color w:val="auto"/>
          <w:sz w:val="21"/>
          <w:szCs w:val="21"/>
          <w:highlight w:val="none"/>
          <w:u w:val="none"/>
          <w:lang w:val="zh-CN"/>
        </w:rPr>
        <w:t>广东政通招标有限公司</w:t>
      </w:r>
      <w:r>
        <w:rPr>
          <w:rFonts w:hint="eastAsia" w:ascii="宋体" w:hAnsi="宋体" w:eastAsia="宋体" w:cs="宋体"/>
          <w:b/>
          <w:bCs w:val="0"/>
          <w:color w:val="auto"/>
          <w:sz w:val="21"/>
          <w:szCs w:val="21"/>
          <w:highlight w:val="none"/>
          <w:u w:val="none"/>
        </w:rPr>
        <w:t>账户</w:t>
      </w:r>
      <w:r>
        <w:rPr>
          <w:rFonts w:hint="eastAsia" w:ascii="宋体" w:hAnsi="宋体" w:eastAsia="宋体" w:cs="宋体"/>
          <w:b/>
          <w:bCs w:val="0"/>
          <w:color w:val="auto"/>
          <w:sz w:val="21"/>
          <w:szCs w:val="21"/>
          <w:highlight w:val="none"/>
          <w:u w:val="none"/>
          <w:lang w:eastAsia="zh-CN"/>
        </w:rPr>
        <w:t>，</w:t>
      </w:r>
      <w:r>
        <w:rPr>
          <w:rFonts w:hint="eastAsia" w:ascii="宋体" w:hAnsi="宋体" w:eastAsia="宋体" w:cs="宋体"/>
          <w:b/>
          <w:bCs w:val="0"/>
          <w:color w:val="auto"/>
          <w:sz w:val="21"/>
          <w:szCs w:val="21"/>
          <w:highlight w:val="none"/>
          <w:u w:val="none"/>
          <w:lang w:val="en-US" w:eastAsia="zh-CN"/>
        </w:rPr>
        <w:t>账户详见</w:t>
      </w:r>
      <w:r>
        <w:rPr>
          <w:rFonts w:hint="eastAsia" w:ascii="宋体" w:hAnsi="宋体" w:cs="宋体"/>
          <w:b/>
          <w:bCs w:val="0"/>
          <w:color w:val="auto"/>
          <w:sz w:val="21"/>
          <w:szCs w:val="21"/>
          <w:highlight w:val="none"/>
          <w:u w:val="none"/>
          <w:lang w:val="en-US" w:eastAsia="zh-CN"/>
        </w:rPr>
        <w:t>磋商文件</w:t>
      </w:r>
      <w:r>
        <w:rPr>
          <w:rFonts w:hint="eastAsia" w:ascii="宋体" w:hAnsi="宋体" w:eastAsia="宋体" w:cs="宋体"/>
          <w:b/>
          <w:bCs w:val="0"/>
          <w:color w:val="auto"/>
          <w:sz w:val="21"/>
          <w:szCs w:val="21"/>
          <w:highlight w:val="none"/>
          <w:u w:val="none"/>
        </w:rPr>
        <w:t>。由于转账当天不能确保实时到账，为避免因</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保证金未到账而导致投标被拒绝，建议提前2个工作日转账。</w:t>
      </w:r>
    </w:p>
    <w:p>
      <w:pPr>
        <w:pStyle w:val="32"/>
        <w:keepNext w:val="0"/>
        <w:keepLines w:val="0"/>
        <w:pageBreakBefore w:val="0"/>
        <w:widowControl/>
        <w:numPr>
          <w:ilvl w:val="0"/>
          <w:numId w:val="0"/>
        </w:numPr>
        <w:kinsoku/>
        <w:wordWrap/>
        <w:overflowPunct/>
        <w:topLinePunct w:val="0"/>
        <w:autoSpaceDE/>
        <w:autoSpaceDN/>
        <w:bidi w:val="0"/>
        <w:adjustRightInd w:val="0"/>
        <w:snapToGrid w:val="0"/>
        <w:spacing w:after="0" w:line="480" w:lineRule="auto"/>
        <w:ind w:leftChars="0"/>
        <w:textAlignment w:val="auto"/>
        <w:rPr>
          <w:rFonts w:hint="eastAsia"/>
          <w:color w:val="auto"/>
          <w:highlight w:val="none"/>
        </w:rPr>
      </w:pPr>
      <w:r>
        <w:rPr>
          <w:rFonts w:hint="eastAsia" w:ascii="宋体" w:hAnsi="宋体" w:eastAsia="宋体" w:cs="宋体"/>
          <w:b/>
          <w:bCs w:val="0"/>
          <w:color w:val="auto"/>
          <w:sz w:val="21"/>
          <w:szCs w:val="21"/>
          <w:highlight w:val="none"/>
          <w:u w:val="none"/>
          <w:lang w:val="en-US" w:eastAsia="zh-CN"/>
        </w:rPr>
        <w:t>11、</w:t>
      </w:r>
      <w:r>
        <w:rPr>
          <w:rFonts w:hint="eastAsia" w:ascii="宋体" w:hAnsi="宋体" w:eastAsia="宋体" w:cs="宋体"/>
          <w:b/>
          <w:bCs w:val="0"/>
          <w:color w:val="auto"/>
          <w:sz w:val="21"/>
          <w:szCs w:val="21"/>
          <w:highlight w:val="none"/>
          <w:u w:val="none"/>
        </w:rPr>
        <w:t>为了提高政府采购效率，节约社会交易成本与时间，希望领购了</w:t>
      </w:r>
      <w:r>
        <w:rPr>
          <w:rFonts w:hint="eastAsia" w:ascii="宋体" w:hAnsi="宋体" w:cs="宋体"/>
          <w:b/>
          <w:bCs w:val="0"/>
          <w:color w:val="auto"/>
          <w:sz w:val="21"/>
          <w:szCs w:val="21"/>
          <w:highlight w:val="none"/>
          <w:u w:val="none"/>
          <w:lang w:eastAsia="zh-CN"/>
        </w:rPr>
        <w:t>磋商文件</w:t>
      </w:r>
      <w:r>
        <w:rPr>
          <w:rFonts w:hint="eastAsia" w:ascii="宋体" w:hAnsi="宋体" w:eastAsia="宋体" w:cs="宋体"/>
          <w:b/>
          <w:bCs w:val="0"/>
          <w:color w:val="auto"/>
          <w:sz w:val="21"/>
          <w:szCs w:val="21"/>
          <w:highlight w:val="none"/>
          <w:u w:val="none"/>
        </w:rPr>
        <w:t>而决定不参加本项目的供应商，在</w:t>
      </w:r>
      <w:r>
        <w:rPr>
          <w:rFonts w:hint="eastAsia" w:ascii="宋体" w:hAnsi="宋体" w:cs="宋体"/>
          <w:b/>
          <w:bCs w:val="0"/>
          <w:color w:val="auto"/>
          <w:sz w:val="21"/>
          <w:szCs w:val="21"/>
          <w:highlight w:val="none"/>
          <w:u w:val="none"/>
          <w:lang w:eastAsia="zh-CN"/>
        </w:rPr>
        <w:t>响应文件</w:t>
      </w:r>
      <w:r>
        <w:rPr>
          <w:rFonts w:hint="eastAsia" w:ascii="宋体" w:hAnsi="宋体" w:eastAsia="宋体" w:cs="宋体"/>
          <w:b/>
          <w:bCs w:val="0"/>
          <w:color w:val="auto"/>
          <w:sz w:val="21"/>
          <w:szCs w:val="21"/>
          <w:highlight w:val="none"/>
          <w:u w:val="none"/>
        </w:rPr>
        <w:t>递交截止时间的</w:t>
      </w:r>
      <w:r>
        <w:rPr>
          <w:rFonts w:hint="eastAsia" w:ascii="宋体" w:hAnsi="宋体" w:eastAsia="宋体" w:cs="宋体"/>
          <w:b/>
          <w:bCs w:val="0"/>
          <w:color w:val="auto"/>
          <w:sz w:val="21"/>
          <w:szCs w:val="21"/>
          <w:highlight w:val="none"/>
          <w:u w:val="none"/>
          <w:lang w:val="en-US" w:eastAsia="zh-CN"/>
        </w:rPr>
        <w:t>2</w:t>
      </w:r>
      <w:r>
        <w:rPr>
          <w:rFonts w:hint="eastAsia" w:ascii="宋体" w:hAnsi="宋体" w:eastAsia="宋体" w:cs="宋体"/>
          <w:b/>
          <w:bCs w:val="0"/>
          <w:color w:val="auto"/>
          <w:sz w:val="21"/>
          <w:szCs w:val="21"/>
          <w:highlight w:val="none"/>
          <w:u w:val="none"/>
        </w:rPr>
        <w:t>日前，按《</w:t>
      </w:r>
      <w:r>
        <w:rPr>
          <w:rFonts w:hint="eastAsia" w:ascii="宋体" w:hAnsi="宋体" w:cs="宋体"/>
          <w:b/>
          <w:bCs w:val="0"/>
          <w:color w:val="auto"/>
          <w:sz w:val="21"/>
          <w:szCs w:val="21"/>
          <w:highlight w:val="none"/>
          <w:u w:val="none"/>
          <w:lang w:val="en-US" w:eastAsia="zh-CN"/>
        </w:rPr>
        <w:t>磋商</w:t>
      </w:r>
      <w:r>
        <w:rPr>
          <w:rFonts w:hint="eastAsia" w:ascii="宋体" w:hAnsi="宋体" w:eastAsia="宋体" w:cs="宋体"/>
          <w:b/>
          <w:bCs w:val="0"/>
          <w:color w:val="auto"/>
          <w:sz w:val="21"/>
          <w:szCs w:val="21"/>
          <w:highlight w:val="none"/>
          <w:u w:val="none"/>
        </w:rPr>
        <w:t>邀请函》中的联系方式，以书面形式告知采购代理机构。对您的支持与配合，谨此致谢。</w:t>
      </w: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rFonts w:hint="eastAsia"/>
          <w:color w:val="auto"/>
          <w:sz w:val="40"/>
          <w:szCs w:val="40"/>
          <w:highlight w:val="none"/>
        </w:rPr>
        <w:sectPr>
          <w:footerReference r:id="rId10" w:type="first"/>
          <w:footerReference r:id="rId9"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pPr>
    </w:p>
    <w:p>
      <w:pPr>
        <w:pStyle w:val="20"/>
        <w:keepNext w:val="0"/>
        <w:keepLines w:val="0"/>
        <w:pageBreakBefore w:val="0"/>
        <w:widowControl/>
        <w:kinsoku/>
        <w:wordWrap/>
        <w:overflowPunct/>
        <w:topLinePunct w:val="0"/>
        <w:autoSpaceDE/>
        <w:autoSpaceDN/>
        <w:bidi w:val="0"/>
        <w:adjustRightInd w:val="0"/>
        <w:snapToGrid w:val="0"/>
        <w:ind w:left="0" w:leftChars="0"/>
        <w:textAlignment w:val="auto"/>
        <w:rPr>
          <w:color w:val="auto"/>
          <w:sz w:val="40"/>
          <w:szCs w:val="40"/>
          <w:highlight w:val="none"/>
        </w:rPr>
      </w:pPr>
      <w:r>
        <w:rPr>
          <w:rFonts w:hint="eastAsia"/>
          <w:color w:val="auto"/>
          <w:sz w:val="40"/>
          <w:szCs w:val="40"/>
          <w:highlight w:val="none"/>
        </w:rPr>
        <w:t>目录</w:t>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cs="宋体"/>
          <w:color w:val="auto"/>
          <w:szCs w:val="21"/>
          <w:highlight w:val="none"/>
        </w:rPr>
        <w:fldChar w:fldCharType="begin"/>
      </w:r>
      <w:r>
        <w:rPr>
          <w:rFonts w:cs="宋体"/>
          <w:color w:val="auto"/>
          <w:szCs w:val="21"/>
          <w:highlight w:val="none"/>
        </w:rPr>
        <w:instrText xml:space="preserve">TOC \o "1-4" \h \u </w:instrText>
      </w:r>
      <w:r>
        <w:rPr>
          <w:rFonts w:cs="宋体"/>
          <w:color w:val="auto"/>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第一部分 </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邀请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_Toc7988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_Toc7988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第二部分 磋商资料表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_Toc31060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第三部分 评分权重分配表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商务技术评分及价格权重细则表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_Toc24511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 xml:space="preserve">部分 </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_Toc24511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w:t>
      </w:r>
      <w:r>
        <w:rPr>
          <w:rFonts w:hint="eastAsia" w:ascii="宋体" w:hAnsi="宋体" w:eastAsia="宋体" w:cs="宋体"/>
          <w:color w:val="auto"/>
          <w:sz w:val="21"/>
          <w:szCs w:val="21"/>
          <w:highlight w:val="none"/>
        </w:rPr>
        <w:t>说  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 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_Toc8868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 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_Toc8868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 适用法律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 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_Toc5242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 关于联合体报价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 关于分支机构报价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_Toc18108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 保密及其它注意事项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_Toc18108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w:t>
      </w:r>
      <w:r>
        <w:rPr>
          <w:rFonts w:hint="eastAsia" w:ascii="宋体" w:hAnsi="宋体" w:eastAsia="宋体" w:cs="宋体"/>
          <w:color w:val="auto"/>
          <w:sz w:val="21"/>
          <w:szCs w:val="21"/>
          <w:highlight w:val="none"/>
        </w:rPr>
        <w:t>磋商文件说明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_Toc21439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 采购文件构成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_Toc21439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w:t>
      </w:r>
      <w:r>
        <w:rPr>
          <w:rFonts w:hint="eastAsia" w:ascii="宋体" w:hAnsi="宋体" w:eastAsia="宋体" w:cs="宋体"/>
          <w:color w:val="auto"/>
          <w:sz w:val="21"/>
          <w:szCs w:val="21"/>
          <w:highlight w:val="none"/>
        </w:rPr>
        <w:t>响应文件的编制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_Toc19833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 响应文件的语言及度量衡单位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_Toc19833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_Toc18228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 响应文件编制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_Toc18228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 响应文件的内容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 响应文件格式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 ★磋商保证金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 ★报价（响应文件）有效期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_Toc10456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w:t>
      </w:r>
      <w:r>
        <w:rPr>
          <w:rFonts w:hint="eastAsia" w:ascii="宋体" w:hAnsi="宋体" w:eastAsia="宋体" w:cs="宋体"/>
          <w:color w:val="auto"/>
          <w:sz w:val="21"/>
          <w:szCs w:val="21"/>
          <w:highlight w:val="none"/>
        </w:rPr>
        <w:t>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_Toc13611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 响应文件的密封和标记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_Toc13611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 响应文件的递交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_Toc8440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 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_Toc8440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w:t>
      </w:r>
      <w:r>
        <w:rPr>
          <w:rFonts w:hint="eastAsia" w:ascii="宋体" w:hAnsi="宋体" w:eastAsia="宋体" w:cs="宋体"/>
          <w:color w:val="auto"/>
          <w:sz w:val="21"/>
          <w:szCs w:val="21"/>
          <w:highlight w:val="none"/>
        </w:rPr>
        <w:t>磋商、评审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_Toc8137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 签到及评审方法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_Toc8137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 磋商小组</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_Toc17157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 对响应文件的初审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_Toc18895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 技术商务磋商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_Toc5492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 最终报价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_Toc5492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 综合评分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_Toc30725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 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_Toc30725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第六章</w:t>
      </w:r>
      <w:r>
        <w:rPr>
          <w:rFonts w:hint="eastAsia" w:ascii="宋体" w:hAnsi="宋体" w:eastAsia="宋体" w:cs="宋体"/>
          <w:color w:val="auto"/>
          <w:sz w:val="21"/>
          <w:szCs w:val="21"/>
          <w:highlight w:val="none"/>
        </w:rPr>
        <w:t>确定成交供应商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_Toc1066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 确定成交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_Toc3941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 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_Toc3941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 原件核查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_Toc3829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第七章</w:t>
      </w:r>
      <w:r>
        <w:rPr>
          <w:rFonts w:hint="eastAsia" w:ascii="宋体" w:hAnsi="宋体" w:eastAsia="宋体" w:cs="宋体"/>
          <w:color w:val="auto"/>
          <w:sz w:val="21"/>
          <w:szCs w:val="21"/>
          <w:highlight w:val="none"/>
        </w:rPr>
        <w:t>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_Toc3829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 签订合同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_Toc8165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第八章</w:t>
      </w:r>
      <w:r>
        <w:rPr>
          <w:rFonts w:hint="eastAsia" w:ascii="宋体" w:hAnsi="宋体" w:eastAsia="宋体" w:cs="宋体"/>
          <w:color w:val="auto"/>
          <w:sz w:val="21"/>
          <w:szCs w:val="21"/>
          <w:highlight w:val="none"/>
        </w:rPr>
        <w:t>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_Toc8165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 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_Toc20114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 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_Toc20114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_Toc5551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第九章</w:t>
      </w:r>
      <w:r>
        <w:rPr>
          <w:rFonts w:hint="eastAsia" w:ascii="宋体" w:hAnsi="宋体" w:eastAsia="宋体" w:cs="宋体"/>
          <w:color w:val="auto"/>
          <w:sz w:val="21"/>
          <w:szCs w:val="21"/>
          <w:highlight w:val="none"/>
        </w:rPr>
        <w:t>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_Toc26991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 成交服务费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_Toc26991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第十章</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 磋商文件的解释权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 商务需求书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 技术需求书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_Toc15158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 xml:space="preserve">部分  </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_Toc15158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_Toc28116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_Toc28116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第一章价格文件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_Toc19057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一、报价一览表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二、报价明细表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_Toc14734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三、小型或微型企业（货物/服务/承担的工程）明细表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_Toc14734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四、节能产品或环境标志产品明细表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_Toc17483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五、中小企业声明函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六、残疾人福利性单位声明函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第二章商务文件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_Toc4151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一、响应函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_Toc4151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二、资格申明函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_Toc21335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三、在参与政府采购活动前三年未有重大违法记录、没有不良信用记录的声明函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_Toc21335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四、法定代表人证明书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_Toc11689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五、法定代表人授权书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_Toc11689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六、供应商基本情况说明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_Toc11992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_Toc11992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_Toc12706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w:t>
      </w:r>
      <w:r>
        <w:rPr>
          <w:rFonts w:hint="eastAsia" w:ascii="宋体" w:hAnsi="宋体" w:eastAsia="宋体" w:cs="宋体"/>
          <w:color w:val="auto"/>
          <w:sz w:val="21"/>
          <w:szCs w:val="21"/>
          <w:highlight w:val="none"/>
        </w:rPr>
        <w:t>特殊资格要求证明文件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_Toc12706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_Toc14482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w:t>
      </w:r>
      <w:r>
        <w:rPr>
          <w:rFonts w:hint="eastAsia" w:ascii="宋体" w:hAnsi="宋体" w:eastAsia="宋体" w:cs="宋体"/>
          <w:color w:val="auto"/>
          <w:sz w:val="21"/>
          <w:szCs w:val="21"/>
          <w:highlight w:val="none"/>
        </w:rPr>
        <w:t>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_Toc14482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十、招标代理服务费承诺书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_Toc21582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十一、</w:t>
      </w:r>
      <w:r>
        <w:rPr>
          <w:rFonts w:hint="eastAsia" w:ascii="宋体" w:hAnsi="宋体" w:eastAsia="宋体" w:cs="宋体"/>
          <w:color w:val="auto"/>
          <w:sz w:val="21"/>
          <w:szCs w:val="21"/>
          <w:highlight w:val="none"/>
        </w:rPr>
        <w:t>商务条款偏离表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_Toc21582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_Toc7350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_Toc7350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第三章技术文件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技术规格偏离表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_Toc28702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_Toc25570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实质性条款（标记★）响应表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_Toc25570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_Toc14250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_Toc16875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五、项目负责人及团队成员资料表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_Toc16875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六、响应货物明细一览表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_Toc27978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_Toc15352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七、磋商保证金汇入情况说明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_Toc4096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八、政府采购磋商担保函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_Toc4096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九、政府采购履约担保函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_Toc31841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第四章报价信封（单独封装）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_Toc17348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9"/>
        <w:keepNext w:val="0"/>
        <w:keepLines w:val="0"/>
        <w:pageBreakBefore w:val="0"/>
        <w:widowControl/>
        <w:tabs>
          <w:tab w:val="right" w:leader="dot" w:pos="8306"/>
          <w:tab w:val="clear" w:pos="8296"/>
        </w:tabs>
        <w:kinsoku/>
        <w:wordWrap/>
        <w:overflowPunct/>
        <w:topLinePunct w:val="0"/>
        <w:autoSpaceDE/>
        <w:autoSpaceDN/>
        <w:bidi w:val="0"/>
        <w:adjustRightInd w:val="0"/>
        <w:snapToGrid w:val="0"/>
        <w:ind w:left="0" w:leftChars="0"/>
        <w:textAlignment w:val="auto"/>
        <w:rPr>
          <w:color w:val="auto"/>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_Toc13881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en-US" w:eastAsia="zh-CN"/>
        </w:rPr>
        <w:t>第五章联合体共同报价协议书（如有需要）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_Toc13881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spacing w:after="0" w:line="360" w:lineRule="auto"/>
        <w:ind w:left="0" w:leftChars="0"/>
        <w:jc w:val="both"/>
        <w:rPr>
          <w:rFonts w:cs="宋体"/>
          <w:color w:val="auto"/>
          <w:szCs w:val="21"/>
          <w:highlight w:val="none"/>
        </w:rPr>
      </w:pPr>
      <w:r>
        <w:rPr>
          <w:rFonts w:cs="宋体"/>
          <w:color w:val="auto"/>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3"/>
        <w:spacing w:before="0" w:after="0" w:line="240" w:lineRule="auto"/>
        <w:rPr>
          <w:color w:val="auto"/>
          <w:sz w:val="28"/>
          <w:szCs w:val="28"/>
          <w:highlight w:val="none"/>
        </w:rPr>
      </w:pPr>
      <w:bookmarkStart w:id="0" w:name="_Toc14033"/>
      <w:bookmarkStart w:id="1" w:name="_Toc17306"/>
      <w:r>
        <w:rPr>
          <w:rFonts w:hint="eastAsia"/>
          <w:color w:val="auto"/>
          <w:sz w:val="28"/>
          <w:szCs w:val="28"/>
          <w:highlight w:val="none"/>
        </w:rPr>
        <w:t xml:space="preserve">第一部分 </w:t>
      </w:r>
      <w:r>
        <w:rPr>
          <w:rFonts w:hint="eastAsia"/>
          <w:color w:val="auto"/>
          <w:sz w:val="28"/>
          <w:szCs w:val="28"/>
          <w:highlight w:val="none"/>
          <w:lang w:eastAsia="zh-CN"/>
        </w:rPr>
        <w:t>磋商</w:t>
      </w:r>
      <w:r>
        <w:rPr>
          <w:rFonts w:hint="eastAsia"/>
          <w:color w:val="auto"/>
          <w:sz w:val="28"/>
          <w:szCs w:val="28"/>
          <w:highlight w:val="none"/>
        </w:rPr>
        <w:t>邀请</w:t>
      </w:r>
      <w:bookmarkEnd w:id="0"/>
      <w:bookmarkEnd w:id="1"/>
    </w:p>
    <w:p>
      <w:pPr>
        <w:pStyle w:val="4"/>
        <w:spacing w:before="0" w:after="0" w:line="360" w:lineRule="auto"/>
        <w:jc w:val="center"/>
        <w:rPr>
          <w:rFonts w:ascii="宋体" w:hAnsi="宋体" w:eastAsia="宋体" w:cs="宋体"/>
          <w:color w:val="auto"/>
          <w:highlight w:val="none"/>
        </w:rPr>
      </w:pPr>
      <w:bookmarkStart w:id="2" w:name="_Toc8850"/>
      <w:bookmarkStart w:id="3" w:name="_Toc1420"/>
      <w:bookmarkStart w:id="4" w:name="_Toc7988"/>
      <w:r>
        <w:rPr>
          <w:rFonts w:hint="eastAsia" w:ascii="宋体" w:hAnsi="宋体" w:cs="宋体"/>
          <w:color w:val="auto"/>
          <w:highlight w:val="none"/>
          <w:lang w:eastAsia="zh-CN"/>
        </w:rPr>
        <w:t>磋商</w:t>
      </w:r>
      <w:r>
        <w:rPr>
          <w:rFonts w:hint="eastAsia" w:ascii="宋体" w:hAnsi="宋体" w:eastAsia="宋体" w:cs="宋体"/>
          <w:color w:val="auto"/>
          <w:highlight w:val="none"/>
        </w:rPr>
        <w:t>邀请书</w:t>
      </w:r>
      <w:bookmarkEnd w:id="2"/>
      <w:bookmarkEnd w:id="3"/>
      <w:bookmarkEnd w:id="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b/>
          <w:bCs/>
          <w:color w:val="auto"/>
          <w:sz w:val="21"/>
          <w:szCs w:val="21"/>
          <w:highlight w:val="none"/>
          <w:u w:val="single"/>
          <w:lang w:eastAsia="zh-CN"/>
        </w:rPr>
        <w:t>横沥镇机关事务管理中心</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b/>
          <w:bCs/>
          <w:color w:val="auto"/>
          <w:sz w:val="21"/>
          <w:szCs w:val="21"/>
          <w:highlight w:val="none"/>
          <w:u w:val="single"/>
          <w:lang w:eastAsia="zh-CN"/>
        </w:rPr>
        <w:t>横沥镇政府路面改造工程</w:t>
      </w:r>
      <w:r>
        <w:rPr>
          <w:rFonts w:hint="eastAsia" w:ascii="宋体" w:hAnsi="宋体" w:eastAsia="宋体" w:cs="Times New Roman"/>
          <w:color w:val="auto"/>
          <w:sz w:val="21"/>
          <w:szCs w:val="21"/>
          <w:highlight w:val="none"/>
        </w:rPr>
        <w:t>进行国内</w:t>
      </w:r>
      <w:r>
        <w:rPr>
          <w:rFonts w:hint="eastAsia" w:ascii="宋体" w:hAnsi="宋体" w:cs="Times New Roman"/>
          <w:color w:val="auto"/>
          <w:sz w:val="21"/>
          <w:szCs w:val="21"/>
          <w:highlight w:val="none"/>
          <w:lang w:eastAsia="zh-CN"/>
        </w:rPr>
        <w:t>竞争性磋商</w:t>
      </w:r>
      <w:r>
        <w:rPr>
          <w:rFonts w:hint="eastAsia" w:ascii="宋体" w:hAnsi="宋体" w:eastAsia="宋体" w:cs="Times New Roman"/>
          <w:color w:val="auto"/>
          <w:sz w:val="21"/>
          <w:szCs w:val="21"/>
          <w:highlight w:val="none"/>
        </w:rPr>
        <w:t>采购</w:t>
      </w:r>
      <w:r>
        <w:rPr>
          <w:rFonts w:hint="eastAsia" w:ascii="宋体" w:hAnsi="宋体" w:eastAsia="宋体"/>
          <w:color w:val="auto"/>
          <w:sz w:val="21"/>
          <w:szCs w:val="21"/>
          <w:highlight w:val="none"/>
        </w:rPr>
        <w:t>，欢迎符合</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要求的国内</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参加</w:t>
      </w:r>
      <w:r>
        <w:rPr>
          <w:rFonts w:hint="eastAsia" w:hAnsi="宋体"/>
          <w:color w:val="auto"/>
          <w:szCs w:val="21"/>
          <w:highlight w:val="none"/>
        </w:rPr>
        <w:t>参与本次政府采购活动</w:t>
      </w:r>
      <w:r>
        <w:rPr>
          <w:rFonts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color w:val="auto"/>
          <w:sz w:val="21"/>
          <w:szCs w:val="21"/>
          <w:highlight w:val="none"/>
        </w:rPr>
      </w:pPr>
    </w:p>
    <w:p>
      <w:pPr>
        <w:numPr>
          <w:ilvl w:val="0"/>
          <w:numId w:val="1"/>
        </w:numPr>
        <w:spacing w:after="0" w:line="360" w:lineRule="auto"/>
        <w:ind w:firstLine="413" w:firstLineChars="196"/>
        <w:rPr>
          <w:rFonts w:hint="eastAsia"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rPr>
        <w:t>招标项目</w:t>
      </w:r>
      <w:r>
        <w:rPr>
          <w:rFonts w:hint="eastAsia" w:ascii="宋体" w:hAnsi="宋体" w:eastAsia="宋体"/>
          <w:b/>
          <w:color w:val="auto"/>
          <w:sz w:val="21"/>
          <w:szCs w:val="21"/>
          <w:highlight w:val="none"/>
          <w:lang w:val="en-US" w:eastAsia="zh-CN"/>
        </w:rPr>
        <w:t>信息</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编号：</w:t>
      </w:r>
      <w:r>
        <w:rPr>
          <w:rFonts w:hint="eastAsia" w:ascii="宋体" w:hAnsi="宋体"/>
          <w:color w:val="auto"/>
          <w:sz w:val="21"/>
          <w:szCs w:val="21"/>
          <w:highlight w:val="none"/>
          <w:lang w:val="en-US" w:eastAsia="zh-CN"/>
        </w:rPr>
        <w:t>441900014-2021-00730</w:t>
      </w:r>
      <w:r>
        <w:rPr>
          <w:rFonts w:hint="eastAsia" w:ascii="宋体" w:hAnsi="宋体" w:eastAsia="宋体"/>
          <w:color w:val="auto"/>
          <w:sz w:val="21"/>
          <w:szCs w:val="21"/>
          <w:highlight w:val="none"/>
          <w:lang w:val="en-US" w:eastAsia="zh-CN"/>
        </w:rPr>
        <w:t>；</w:t>
      </w:r>
    </w:p>
    <w:p>
      <w:pPr>
        <w:numPr>
          <w:ilvl w:val="0"/>
          <w:numId w:val="2"/>
        </w:num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val="en-US" w:eastAsia="zh-CN"/>
        </w:rPr>
        <w:t>名称：</w:t>
      </w:r>
      <w:r>
        <w:rPr>
          <w:rFonts w:hint="eastAsia" w:ascii="宋体" w:hAnsi="宋体"/>
          <w:color w:val="auto"/>
          <w:sz w:val="21"/>
          <w:szCs w:val="21"/>
          <w:highlight w:val="none"/>
          <w:lang w:val="en-US" w:eastAsia="zh-CN"/>
        </w:rPr>
        <w:t>横沥镇政府路面改造工程</w:t>
      </w:r>
      <w:r>
        <w:rPr>
          <w:rFonts w:hint="eastAsia" w:ascii="宋体" w:hAnsi="宋体" w:eastAsia="宋体"/>
          <w:color w:val="auto"/>
          <w:sz w:val="21"/>
          <w:szCs w:val="21"/>
          <w:highlight w:val="none"/>
          <w:lang w:val="en-US" w:eastAsia="zh-CN"/>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、项目内容：</w:t>
      </w:r>
    </w:p>
    <w:tbl>
      <w:tblPr>
        <w:tblStyle w:val="22"/>
        <w:tblW w:w="46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9"/>
        <w:gridCol w:w="3669"/>
        <w:gridCol w:w="108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92"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38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包组内容</w:t>
            </w:r>
          </w:p>
        </w:tc>
        <w:tc>
          <w:tcPr>
            <w:tcW w:w="70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数量</w:t>
            </w:r>
          </w:p>
        </w:tc>
        <w:tc>
          <w:tcPr>
            <w:tcW w:w="16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预算</w:t>
            </w:r>
            <w:r>
              <w:rPr>
                <w:rFonts w:hint="eastAsia" w:ascii="宋体" w:hAnsi="宋体"/>
                <w:color w:val="auto"/>
                <w:sz w:val="21"/>
                <w:szCs w:val="21"/>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292"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1</w:t>
            </w:r>
          </w:p>
        </w:tc>
        <w:tc>
          <w:tcPr>
            <w:tcW w:w="2389"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横沥镇政府路面改造工程</w:t>
            </w:r>
          </w:p>
        </w:tc>
        <w:tc>
          <w:tcPr>
            <w:tcW w:w="703"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1项</w:t>
            </w:r>
          </w:p>
        </w:tc>
        <w:tc>
          <w:tcPr>
            <w:tcW w:w="1614" w:type="pct"/>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3,928,730.65</w:t>
            </w:r>
          </w:p>
        </w:tc>
      </w:tr>
    </w:tbl>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line="360" w:lineRule="auto"/>
        <w:ind w:leftChars="0"/>
        <w:textAlignment w:val="auto"/>
        <w:rPr>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的单位负责人为同一人或者存在直接控股、管理关系的不同</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，不得参加同一合同项下的政府采购活动。为本项目提供整体设计、规范编制或者项目管理、监理、检测等服务的</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，不得参加本采购项目的采购活动；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w:t>
      </w:r>
      <w:r>
        <w:rPr>
          <w:rFonts w:hint="eastAsia" w:ascii="宋体" w:hAnsi="宋体"/>
          <w:color w:val="auto"/>
          <w:sz w:val="21"/>
          <w:szCs w:val="21"/>
          <w:highlight w:val="none"/>
          <w:lang w:val="en-US" w:eastAsia="zh-CN"/>
        </w:rPr>
        <w:t>响应</w:t>
      </w:r>
      <w:r>
        <w:rPr>
          <w:rFonts w:hint="eastAsia" w:ascii="宋体" w:hAnsi="宋体" w:eastAsia="宋体"/>
          <w:color w:val="auto"/>
          <w:sz w:val="21"/>
          <w:szCs w:val="21"/>
          <w:highlight w:val="none"/>
        </w:rPr>
        <w:t>截止日当天在“信用中国”网站及中国政府采购网查询结果为准，如相关失信记录已失效，</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需提供相关证明资料。</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）本项目（是/否）接受联合体投标：否</w:t>
      </w:r>
    </w:p>
    <w:p>
      <w:pPr>
        <w:keepNext w:val="0"/>
        <w:keepLines w:val="0"/>
        <w:pageBreakBefore w:val="0"/>
        <w:widowControl/>
        <w:kinsoku/>
        <w:wordWrap/>
        <w:overflowPunct/>
        <w:topLinePunct w:val="0"/>
        <w:autoSpaceDE/>
        <w:autoSpaceDN/>
        <w:bidi w:val="0"/>
        <w:adjustRightInd w:val="0"/>
        <w:snapToGrid w:val="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2、特殊要求：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lang w:val="en-US" w:eastAsia="zh-CN"/>
        </w:rPr>
        <w:t xml:space="preserve">供应商具有市政公用工程施工总承包乙级或以上资质【或更换资质证书前有效期内市政公用工程施工总承包叁级或以上资质】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注：上述资质要求，依据住房和城乡建设部2020年11月30日关于印发《建设工程企业资质管理制度改革方案》的通知，在更换资质证书前有效期内适用于本项目资质证书的均为有效资格条件。</w:t>
      </w:r>
    </w:p>
    <w:p>
      <w:pPr>
        <w:bidi w:val="0"/>
        <w:rPr>
          <w:rFonts w:hint="eastAsia"/>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w:t>
      </w:r>
      <w:r>
        <w:rPr>
          <w:rFonts w:hint="eastAsia" w:ascii="宋体" w:hAnsi="宋体"/>
          <w:b/>
          <w:color w:val="auto"/>
          <w:sz w:val="21"/>
          <w:szCs w:val="21"/>
          <w:highlight w:val="none"/>
          <w:lang w:eastAsia="zh-CN"/>
        </w:rPr>
        <w:t>磋商文件</w:t>
      </w:r>
      <w:r>
        <w:rPr>
          <w:rFonts w:hint="eastAsia" w:ascii="宋体" w:hAnsi="宋体" w:eastAsia="宋体"/>
          <w:b/>
          <w:color w:val="auto"/>
          <w:sz w:val="21"/>
          <w:szCs w:val="21"/>
          <w:highlight w:val="none"/>
        </w:rPr>
        <w:t>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10</w:t>
      </w:r>
      <w:r>
        <w:rPr>
          <w:rFonts w:hint="eastAsia" w:ascii="宋体" w:hAnsi="宋体" w:eastAsia="宋体"/>
          <w:color w:val="auto"/>
          <w:sz w:val="21"/>
          <w:szCs w:val="21"/>
          <w:highlight w:val="none"/>
        </w:rPr>
        <w:t>日起至202</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年</w:t>
      </w:r>
      <w:r>
        <w:rPr>
          <w:rFonts w:hint="eastAsia" w:ascii="宋体" w:hAnsi="宋体"/>
          <w:color w:val="auto"/>
          <w:sz w:val="21"/>
          <w:szCs w:val="21"/>
          <w:highlight w:val="none"/>
          <w:lang w:val="en-US" w:eastAsia="zh-CN"/>
        </w:rPr>
        <w:t>9</w:t>
      </w:r>
      <w:r>
        <w:rPr>
          <w:rFonts w:hint="eastAsia" w:ascii="宋体" w:hAnsi="宋体" w:eastAsia="宋体"/>
          <w:color w:val="auto"/>
          <w:sz w:val="21"/>
          <w:szCs w:val="21"/>
          <w:highlight w:val="none"/>
        </w:rPr>
        <w:t>月</w:t>
      </w:r>
      <w:r>
        <w:rPr>
          <w:rFonts w:hint="eastAsia" w:ascii="宋体" w:hAnsi="宋体"/>
          <w:color w:val="auto"/>
          <w:sz w:val="21"/>
          <w:szCs w:val="21"/>
          <w:highlight w:val="none"/>
          <w:lang w:val="en-US" w:eastAsia="zh-CN"/>
        </w:rPr>
        <w:t>17</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可自行打印</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lang w:val="en-US" w:eastAsia="zh-CN"/>
        </w:rPr>
        <w:t>最后1页</w:t>
      </w:r>
      <w:r>
        <w:rPr>
          <w:rFonts w:hint="eastAsia" w:ascii="宋体" w:hAnsi="宋体" w:eastAsia="宋体"/>
          <w:color w:val="auto"/>
          <w:sz w:val="21"/>
          <w:szCs w:val="21"/>
          <w:highlight w:val="none"/>
        </w:rPr>
        <w:t>中的“获取</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登记表”进行填写并带到现场进行领购，并现场领取发票。（</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w:t>
      </w:r>
      <w:r>
        <w:rPr>
          <w:rFonts w:hint="eastAsia" w:ascii="宋体" w:hAnsi="宋体" w:eastAsia="宋体"/>
          <w:color w:val="auto"/>
          <w:sz w:val="21"/>
          <w:szCs w:val="21"/>
          <w:highlight w:val="none"/>
          <w:lang w:val="en-US" w:eastAsia="zh-CN"/>
        </w:rPr>
        <w:t>简小姐</w:t>
      </w:r>
      <w:r>
        <w:rPr>
          <w:rFonts w:hint="eastAsia" w:ascii="宋体" w:hAnsi="宋体" w:eastAsia="宋体"/>
          <w:color w:val="auto"/>
          <w:sz w:val="21"/>
          <w:szCs w:val="21"/>
          <w:highlight w:val="none"/>
        </w:rPr>
        <w:t>。</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领购地点：东莞市南城街道鸿福西路81号国际商会大厦</w:t>
      </w: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lang w:val="en-US" w:eastAsia="zh-CN"/>
        </w:rPr>
        <w:t>3A</w:t>
      </w:r>
      <w:r>
        <w:rPr>
          <w:rFonts w:hint="eastAsia" w:ascii="宋体" w:hAnsi="宋体" w:eastAsia="宋体"/>
          <w:color w:val="auto"/>
          <w:sz w:val="21"/>
          <w:szCs w:val="21"/>
          <w:highlight w:val="none"/>
          <w:lang w:eastAsia="zh-CN"/>
        </w:rPr>
        <w:t>01</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eastAsia="zh-CN"/>
        </w:rPr>
        <w:t>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w:t>
      </w:r>
      <w:r>
        <w:rPr>
          <w:rFonts w:hint="eastAsia" w:ascii="宋体" w:hAnsi="宋体" w:eastAsia="宋体"/>
          <w:color w:val="auto"/>
          <w:sz w:val="21"/>
          <w:szCs w:val="21"/>
          <w:highlight w:val="none"/>
          <w:lang w:eastAsia="zh-CN"/>
        </w:rPr>
        <w:t>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领购方式：现场领购。</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在领购</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时须提供如下证明材料：《营业执照》复印件（加盖公章）或《事业单位法人证书》复印件（加盖公章）或其他主体证书复印件（加盖公章），自然人参加</w:t>
      </w:r>
      <w:r>
        <w:rPr>
          <w:rFonts w:hint="eastAsia" w:ascii="宋体" w:hAnsi="宋体"/>
          <w:color w:val="auto"/>
          <w:sz w:val="21"/>
          <w:szCs w:val="21"/>
          <w:highlight w:val="none"/>
          <w:lang w:val="en-US" w:eastAsia="zh-CN"/>
        </w:rPr>
        <w:t>报价</w:t>
      </w:r>
      <w:r>
        <w:rPr>
          <w:rFonts w:hint="eastAsia" w:ascii="宋体" w:hAnsi="宋体" w:eastAsia="宋体"/>
          <w:color w:val="auto"/>
          <w:sz w:val="21"/>
          <w:szCs w:val="21"/>
          <w:highlight w:val="none"/>
        </w:rPr>
        <w:t>须提供自然人的身份证明材料</w:t>
      </w:r>
      <w:r>
        <w:rPr>
          <w:rFonts w:hint="eastAsia" w:ascii="宋体" w:hAnsi="宋体" w:eastAsia="宋体"/>
          <w:color w:val="auto"/>
          <w:sz w:val="21"/>
          <w:szCs w:val="21"/>
          <w:highlight w:val="none"/>
          <w:lang w:eastAsia="zh-CN"/>
        </w:rPr>
        <w:t>。</w:t>
      </w:r>
    </w:p>
    <w:p>
      <w:pPr>
        <w:bidi w:val="0"/>
        <w:rPr>
          <w:rFonts w:hint="eastAsia"/>
          <w:color w:val="auto"/>
          <w:highlight w:val="none"/>
          <w:lang w:eastAsia="zh-CN"/>
        </w:rPr>
      </w:pPr>
    </w:p>
    <w:p>
      <w:pPr>
        <w:spacing w:after="0" w:line="360" w:lineRule="auto"/>
        <w:ind w:firstLine="413" w:firstLineChars="196"/>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四</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val="en-US" w:eastAsia="zh-CN"/>
        </w:rPr>
        <w:t>其他事项</w:t>
      </w:r>
    </w:p>
    <w:p>
      <w:p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eastAsia="宋体"/>
          <w:color w:val="auto"/>
          <w:sz w:val="21"/>
          <w:szCs w:val="21"/>
          <w:highlight w:val="none"/>
        </w:rPr>
        <w:t>、需要落实的政府采购政策：《政府采购促进中小企业发展管理办法》（财库〔2020〕46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bidi w:val="0"/>
        <w:rPr>
          <w:rFonts w:hint="default"/>
          <w:color w:val="auto"/>
          <w:highlight w:val="none"/>
          <w:lang w:val="en-US" w:eastAsia="zh-CN"/>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lang w:val="en-US" w:eastAsia="zh-CN"/>
        </w:rPr>
        <w:t>五</w:t>
      </w:r>
      <w:r>
        <w:rPr>
          <w:rFonts w:hint="eastAsia" w:ascii="宋体" w:hAnsi="宋体" w:eastAsia="宋体"/>
          <w:b/>
          <w:color w:val="auto"/>
          <w:sz w:val="21"/>
          <w:szCs w:val="21"/>
          <w:highlight w:val="none"/>
        </w:rPr>
        <w:t>、</w:t>
      </w:r>
      <w:r>
        <w:rPr>
          <w:rFonts w:hint="eastAsia" w:ascii="宋体" w:hAnsi="宋体"/>
          <w:b/>
          <w:color w:val="auto"/>
          <w:sz w:val="21"/>
          <w:szCs w:val="21"/>
          <w:highlight w:val="none"/>
          <w:lang w:eastAsia="zh-CN"/>
        </w:rPr>
        <w:t>响应</w:t>
      </w:r>
      <w:r>
        <w:rPr>
          <w:rFonts w:hint="eastAsia" w:ascii="宋体" w:hAnsi="宋体" w:eastAsia="宋体"/>
          <w:b/>
          <w:color w:val="auto"/>
          <w:sz w:val="21"/>
          <w:szCs w:val="21"/>
          <w:highlight w:val="none"/>
        </w:rPr>
        <w:t>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w:t>
      </w:r>
      <w:r>
        <w:rPr>
          <w:rFonts w:hint="eastAsia" w:ascii="宋体" w:hAnsi="宋体"/>
          <w:bCs/>
          <w:color w:val="auto"/>
          <w:sz w:val="21"/>
          <w:szCs w:val="21"/>
          <w:highlight w:val="none"/>
          <w:lang w:eastAsia="zh-CN"/>
        </w:rPr>
        <w:t>响应文件</w:t>
      </w:r>
      <w:r>
        <w:rPr>
          <w:rFonts w:hint="eastAsia" w:ascii="宋体" w:hAnsi="宋体" w:eastAsia="宋体"/>
          <w:bCs/>
          <w:color w:val="auto"/>
          <w:sz w:val="21"/>
          <w:szCs w:val="21"/>
          <w:highlight w:val="none"/>
        </w:rPr>
        <w:t>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23</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：00～</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hint="eastAsia" w:ascii="宋体" w:hAnsi="宋体"/>
          <w:bCs/>
          <w:color w:val="auto"/>
          <w:sz w:val="21"/>
          <w:szCs w:val="21"/>
          <w:highlight w:val="none"/>
          <w:lang w:val="en-US" w:eastAsia="zh-CN"/>
        </w:rPr>
        <w:t>响应</w:t>
      </w:r>
      <w:r>
        <w:rPr>
          <w:rFonts w:ascii="宋体" w:hAnsi="宋体" w:eastAsia="宋体"/>
          <w:bCs/>
          <w:color w:val="auto"/>
          <w:sz w:val="21"/>
          <w:szCs w:val="21"/>
          <w:highlight w:val="none"/>
        </w:rPr>
        <w:t>截止</w:t>
      </w:r>
      <w:r>
        <w:rPr>
          <w:rFonts w:hint="eastAsia" w:ascii="宋体" w:hAnsi="宋体" w:eastAsia="宋体"/>
          <w:bCs/>
          <w:color w:val="auto"/>
          <w:sz w:val="21"/>
          <w:szCs w:val="21"/>
          <w:highlight w:val="none"/>
        </w:rPr>
        <w:t>及开标时间：202</w:t>
      </w:r>
      <w:r>
        <w:rPr>
          <w:rFonts w:hint="eastAsia" w:ascii="宋体" w:hAnsi="宋体" w:eastAsia="宋体"/>
          <w:bCs/>
          <w:color w:val="auto"/>
          <w:sz w:val="21"/>
          <w:szCs w:val="21"/>
          <w:highlight w:val="none"/>
          <w:lang w:val="en-US" w:eastAsia="zh-CN"/>
        </w:rPr>
        <w:t>1</w:t>
      </w:r>
      <w:r>
        <w:rPr>
          <w:rFonts w:hint="eastAsia" w:ascii="宋体" w:hAnsi="宋体" w:eastAsia="宋体"/>
          <w:bCs/>
          <w:color w:val="auto"/>
          <w:sz w:val="21"/>
          <w:szCs w:val="21"/>
          <w:highlight w:val="none"/>
        </w:rPr>
        <w:t>年</w:t>
      </w:r>
      <w:r>
        <w:rPr>
          <w:rFonts w:hint="eastAsia" w:ascii="宋体" w:hAnsi="宋体"/>
          <w:bCs/>
          <w:color w:val="auto"/>
          <w:sz w:val="21"/>
          <w:szCs w:val="21"/>
          <w:highlight w:val="none"/>
          <w:lang w:val="en-US" w:eastAsia="zh-CN"/>
        </w:rPr>
        <w:t>9</w:t>
      </w:r>
      <w:r>
        <w:rPr>
          <w:rFonts w:hint="eastAsia" w:ascii="宋体" w:hAnsi="宋体" w:eastAsia="宋体"/>
          <w:bCs/>
          <w:color w:val="auto"/>
          <w:sz w:val="21"/>
          <w:szCs w:val="21"/>
          <w:highlight w:val="none"/>
        </w:rPr>
        <w:t>月</w:t>
      </w:r>
      <w:r>
        <w:rPr>
          <w:rFonts w:hint="eastAsia" w:ascii="宋体" w:hAnsi="宋体"/>
          <w:bCs/>
          <w:color w:val="auto"/>
          <w:sz w:val="21"/>
          <w:szCs w:val="21"/>
          <w:highlight w:val="none"/>
          <w:lang w:val="en-US" w:eastAsia="zh-CN"/>
        </w:rPr>
        <w:t>23</w:t>
      </w:r>
      <w:r>
        <w:rPr>
          <w:rFonts w:hint="eastAsia" w:ascii="宋体" w:hAnsi="宋体" w:eastAsia="宋体"/>
          <w:bCs/>
          <w:color w:val="auto"/>
          <w:sz w:val="21"/>
          <w:szCs w:val="21"/>
          <w:highlight w:val="none"/>
        </w:rPr>
        <w:t>日</w:t>
      </w:r>
      <w:r>
        <w:rPr>
          <w:rFonts w:hint="eastAsia" w:ascii="宋体" w:hAnsi="宋体"/>
          <w:bCs/>
          <w:color w:val="auto"/>
          <w:sz w:val="21"/>
          <w:szCs w:val="21"/>
          <w:highlight w:val="none"/>
          <w:lang w:val="en-US" w:eastAsia="zh-CN"/>
        </w:rPr>
        <w:t>下</w:t>
      </w:r>
      <w:r>
        <w:rPr>
          <w:rFonts w:hint="eastAsia" w:ascii="宋体" w:hAnsi="宋体" w:eastAsia="宋体"/>
          <w:bCs/>
          <w:color w:val="auto"/>
          <w:sz w:val="21"/>
          <w:szCs w:val="21"/>
          <w:highlight w:val="none"/>
        </w:rPr>
        <w:t>午</w:t>
      </w:r>
      <w:r>
        <w:rPr>
          <w:rFonts w:hint="eastAsia" w:ascii="宋体" w:hAnsi="宋体"/>
          <w:bCs/>
          <w:color w:val="auto"/>
          <w:sz w:val="21"/>
          <w:szCs w:val="21"/>
          <w:highlight w:val="none"/>
          <w:lang w:val="en-US" w:eastAsia="zh-CN"/>
        </w:rPr>
        <w:t>14</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hint="eastAsia" w:ascii="宋体" w:hAnsi="宋体" w:eastAsia="宋体"/>
          <w:color w:val="auto"/>
          <w:sz w:val="21"/>
          <w:szCs w:val="21"/>
          <w:highlight w:val="none"/>
        </w:rPr>
        <w:t>接收响应文件地点</w:t>
      </w:r>
      <w:r>
        <w:rPr>
          <w:rFonts w:ascii="宋体" w:hAnsi="宋体" w:eastAsia="宋体"/>
          <w:bCs/>
          <w:color w:val="auto"/>
          <w:sz w:val="21"/>
          <w:szCs w:val="21"/>
          <w:highlight w:val="none"/>
        </w:rPr>
        <w:t>：</w:t>
      </w:r>
      <w:r>
        <w:rPr>
          <w:rFonts w:hint="eastAsia" w:ascii="宋体" w:hAnsi="宋体" w:eastAsia="宋体"/>
          <w:color w:val="auto"/>
          <w:sz w:val="21"/>
          <w:szCs w:val="21"/>
          <w:highlight w:val="none"/>
        </w:rPr>
        <w:t>东莞市南城街道鸿福西路81号国际商会大厦</w:t>
      </w:r>
      <w:r>
        <w:rPr>
          <w:rFonts w:hint="eastAsia" w:ascii="宋体" w:hAnsi="宋体" w:eastAsia="宋体"/>
          <w:color w:val="auto"/>
          <w:sz w:val="21"/>
          <w:szCs w:val="21"/>
          <w:highlight w:val="none"/>
          <w:lang w:val="en-US" w:eastAsia="zh-CN"/>
        </w:rPr>
        <w:t>13A</w:t>
      </w:r>
      <w:r>
        <w:rPr>
          <w:rFonts w:hint="eastAsia" w:ascii="宋体" w:hAnsi="宋体" w:eastAsia="宋体"/>
          <w:color w:val="auto"/>
          <w:sz w:val="21"/>
          <w:szCs w:val="21"/>
          <w:highlight w:val="none"/>
        </w:rPr>
        <w:t>01室</w:t>
      </w:r>
      <w:r>
        <w:rPr>
          <w:rFonts w:hint="eastAsia" w:ascii="宋体" w:hAnsi="宋体" w:eastAsia="宋体"/>
          <w:bCs/>
          <w:color w:val="auto"/>
          <w:sz w:val="21"/>
          <w:szCs w:val="21"/>
          <w:highlight w:val="none"/>
        </w:rPr>
        <w:t>。</w:t>
      </w:r>
    </w:p>
    <w:p>
      <w:pPr>
        <w:spacing w:after="0" w:line="360" w:lineRule="auto"/>
        <w:ind w:firstLine="411" w:firstLineChars="196"/>
        <w:rPr>
          <w:rFonts w:ascii="宋体" w:hAnsi="宋体" w:eastAsia="宋体"/>
          <w:bCs/>
          <w:color w:val="auto"/>
          <w:sz w:val="21"/>
          <w:szCs w:val="21"/>
          <w:highlight w:val="none"/>
        </w:rPr>
      </w:pPr>
    </w:p>
    <w:p>
      <w:pPr>
        <w:spacing w:after="0" w:line="360" w:lineRule="auto"/>
        <w:ind w:firstLine="413" w:firstLineChars="196"/>
        <w:rPr>
          <w:rFonts w:ascii="宋体" w:hAnsi="宋体" w:eastAsia="宋体"/>
          <w:bCs/>
          <w:color w:val="auto"/>
          <w:sz w:val="21"/>
          <w:szCs w:val="21"/>
          <w:highlight w:val="none"/>
        </w:rPr>
      </w:pPr>
      <w:r>
        <w:rPr>
          <w:rFonts w:hint="eastAsia" w:ascii="宋体" w:hAnsi="宋体" w:eastAsia="宋体"/>
          <w:b/>
          <w:color w:val="auto"/>
          <w:sz w:val="21"/>
          <w:szCs w:val="21"/>
          <w:highlight w:val="none"/>
          <w:lang w:val="en-US" w:eastAsia="zh-CN"/>
        </w:rPr>
        <w:t>六</w:t>
      </w:r>
      <w:r>
        <w:rPr>
          <w:rFonts w:hint="eastAsia" w:ascii="宋体" w:hAnsi="宋体" w:eastAsia="宋体"/>
          <w:b/>
          <w:color w:val="auto"/>
          <w:sz w:val="21"/>
          <w:szCs w:val="21"/>
          <w:highlight w:val="none"/>
        </w:rPr>
        <w:t>、采购人及采购代理机构的名称、地址和联系方法：</w:t>
      </w:r>
    </w:p>
    <w:p>
      <w:pPr>
        <w:spacing w:after="0" w:line="360" w:lineRule="auto"/>
        <w:ind w:firstLine="420" w:firstLineChars="200"/>
        <w:rPr>
          <w:rFonts w:hint="eastAsia" w:ascii="宋体" w:hAnsi="宋体" w:eastAsia="宋体"/>
          <w:bCs/>
          <w:color w:val="auto"/>
          <w:sz w:val="21"/>
          <w:szCs w:val="21"/>
          <w:highlight w:val="none"/>
          <w:lang w:eastAsia="zh-CN"/>
        </w:rPr>
      </w:pPr>
      <w:r>
        <w:rPr>
          <w:rFonts w:hint="eastAsia" w:ascii="宋体" w:hAnsi="宋体" w:eastAsia="宋体"/>
          <w:bCs/>
          <w:color w:val="auto"/>
          <w:sz w:val="21"/>
          <w:szCs w:val="21"/>
          <w:highlight w:val="none"/>
        </w:rPr>
        <w:t>采购人联系人：</w:t>
      </w:r>
      <w:r>
        <w:rPr>
          <w:rFonts w:hint="eastAsia" w:ascii="宋体" w:hAnsi="宋体" w:eastAsia="宋体"/>
          <w:color w:val="auto"/>
          <w:sz w:val="21"/>
          <w:szCs w:val="21"/>
          <w:highlight w:val="none"/>
        </w:rPr>
        <w:t>吴</w:t>
      </w:r>
      <w:r>
        <w:rPr>
          <w:rFonts w:hint="eastAsia" w:ascii="宋体" w:hAnsi="宋体"/>
          <w:color w:val="auto"/>
          <w:sz w:val="21"/>
          <w:szCs w:val="21"/>
          <w:highlight w:val="none"/>
          <w:lang w:val="en-US" w:eastAsia="zh-CN"/>
        </w:rPr>
        <w:t>工</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w:t>
      </w:r>
      <w:r>
        <w:rPr>
          <w:rFonts w:hint="eastAsia" w:ascii="宋体" w:hAnsi="宋体" w:eastAsia="宋体"/>
          <w:bCs/>
          <w:color w:val="auto"/>
          <w:sz w:val="21"/>
          <w:szCs w:val="21"/>
          <w:lang w:eastAsia="zh-CN"/>
        </w:rPr>
        <w:t>东莞市横沥镇</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w:t>
      </w:r>
      <w:r>
        <w:rPr>
          <w:rFonts w:hint="eastAsia" w:ascii="宋体" w:hAnsi="宋体" w:eastAsia="宋体"/>
          <w:bCs/>
          <w:color w:val="auto"/>
          <w:sz w:val="21"/>
          <w:szCs w:val="21"/>
        </w:rPr>
        <w:t>0769—83722880</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13A01</w:t>
      </w:r>
      <w:r>
        <w:rPr>
          <w:rFonts w:hint="eastAsia" w:ascii="宋体" w:hAnsi="宋体" w:eastAsia="宋体"/>
          <w:color w:val="auto"/>
          <w:sz w:val="21"/>
          <w:szCs w:val="21"/>
          <w:highlight w:val="none"/>
        </w:rPr>
        <w:t>室。</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w:t>
      </w:r>
      <w:r>
        <w:rPr>
          <w:rFonts w:hint="eastAsia" w:ascii="宋体" w:hAnsi="宋体"/>
          <w:color w:val="auto"/>
          <w:sz w:val="21"/>
          <w:szCs w:val="21"/>
          <w:highlight w:val="none"/>
          <w:lang w:val="en-US" w:eastAsia="zh-CN"/>
        </w:rPr>
        <w:t>先生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hint="default" w:eastAsia="宋体"/>
          <w:color w:val="auto"/>
          <w:highlight w:val="none"/>
          <w:lang w:val="en-US" w:eastAsia="zh-CN"/>
        </w:rPr>
      </w:pPr>
      <w:r>
        <w:rPr>
          <w:rFonts w:hint="eastAsia" w:ascii="宋体" w:hAnsi="宋体" w:eastAsia="宋体"/>
          <w:color w:val="auto"/>
          <w:sz w:val="21"/>
          <w:szCs w:val="21"/>
          <w:highlight w:val="none"/>
        </w:rPr>
        <w:t>E－ mail：</w:t>
      </w:r>
      <w:r>
        <w:rPr>
          <w:rFonts w:hint="eastAsia" w:ascii="宋体" w:hAnsi="宋体" w:eastAsia="宋体"/>
          <w:color w:val="auto"/>
          <w:sz w:val="21"/>
          <w:szCs w:val="21"/>
          <w:lang w:val="en-US" w:eastAsia="zh-CN"/>
        </w:rPr>
        <w:t>471539976@qq.com</w:t>
      </w:r>
    </w:p>
    <w:p>
      <w:pPr>
        <w:rPr>
          <w:color w:val="auto"/>
          <w:highlight w:val="none"/>
        </w:rPr>
      </w:pPr>
    </w:p>
    <w:p>
      <w:pPr>
        <w:ind w:right="752" w:rightChars="358"/>
        <w:jc w:val="both"/>
        <w:rPr>
          <w:color w:val="auto"/>
          <w:highlight w:val="none"/>
        </w:rPr>
      </w:pPr>
    </w:p>
    <w:p>
      <w:pPr>
        <w:ind w:right="752" w:rightChars="358"/>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广东政通招标有限公司</w:t>
      </w:r>
    </w:p>
    <w:p>
      <w:pPr>
        <w:ind w:left="6205" w:leftChars="2755" w:hanging="420" w:hanging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月</w:t>
      </w:r>
    </w:p>
    <w:p>
      <w:pPr>
        <w:pStyle w:val="7"/>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3"/>
        <w:spacing w:before="0" w:after="0" w:line="240" w:lineRule="auto"/>
        <w:rPr>
          <w:rFonts w:hint="eastAsia"/>
          <w:color w:val="auto"/>
          <w:sz w:val="28"/>
          <w:szCs w:val="28"/>
          <w:highlight w:val="none"/>
          <w:lang w:val="en-US" w:eastAsia="zh-CN"/>
        </w:rPr>
      </w:pPr>
      <w:bookmarkStart w:id="5" w:name="_Toc28550"/>
      <w:bookmarkStart w:id="6" w:name="_Toc31060"/>
      <w:r>
        <w:rPr>
          <w:rFonts w:hint="eastAsia"/>
          <w:color w:val="auto"/>
          <w:sz w:val="28"/>
          <w:szCs w:val="28"/>
          <w:highlight w:val="none"/>
          <w:lang w:val="en-US" w:eastAsia="zh-CN"/>
        </w:rPr>
        <w:t>第二部分</w:t>
      </w:r>
      <w:bookmarkStart w:id="7" w:name="_Toc20683"/>
      <w:r>
        <w:rPr>
          <w:rFonts w:hint="eastAsia"/>
          <w:color w:val="auto"/>
          <w:sz w:val="28"/>
          <w:szCs w:val="28"/>
          <w:highlight w:val="none"/>
          <w:lang w:val="en-US" w:eastAsia="zh-CN"/>
        </w:rPr>
        <w:t xml:space="preserve"> 磋商资料表</w:t>
      </w:r>
      <w:bookmarkEnd w:id="5"/>
      <w:bookmarkEnd w:id="6"/>
      <w:bookmarkEnd w:id="7"/>
    </w:p>
    <w:tbl>
      <w:tblPr>
        <w:tblStyle w:val="22"/>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Cs/>
                <w:color w:val="auto"/>
                <w:sz w:val="21"/>
                <w:szCs w:val="21"/>
                <w:highlight w:val="none"/>
                <w:lang w:val="en-US"/>
              </w:rPr>
            </w:pPr>
            <w:r>
              <w:rPr>
                <w:rFonts w:hint="eastAsia" w:ascii="宋体" w:hAnsi="宋体" w:eastAsia="宋体"/>
                <w:bCs/>
                <w:color w:val="auto"/>
                <w:sz w:val="21"/>
                <w:szCs w:val="21"/>
                <w:highlight w:val="none"/>
                <w:lang w:val="en-US" w:eastAsia="zh-CN"/>
              </w:rPr>
              <w:t>所属行业：</w:t>
            </w:r>
            <w:r>
              <w:rPr>
                <w:rFonts w:hint="eastAsia" w:ascii="宋体" w:hAnsi="宋体"/>
                <w:bCs/>
                <w:color w:val="auto"/>
                <w:sz w:val="21"/>
                <w:szCs w:val="21"/>
                <w:highlight w:val="none"/>
                <w:lang w:val="en-US" w:eastAsia="zh-CN"/>
              </w:rPr>
              <w:t>建筑业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hint="eastAsia" w:ascii="宋体" w:hAnsi="宋体" w:eastAsia="宋体"/>
                <w:b/>
                <w:color w:val="auto"/>
                <w:sz w:val="21"/>
                <w:szCs w:val="21"/>
                <w:highlight w:val="none"/>
                <w:lang w:eastAsia="zh-CN"/>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default" w:ascii="宋体" w:hAnsi="宋体" w:eastAsia="宋体"/>
                <w:b/>
                <w:color w:val="auto"/>
                <w:sz w:val="21"/>
                <w:szCs w:val="21"/>
                <w:highlight w:val="none"/>
                <w:lang w:val="en-US" w:eastAsia="zh-CN"/>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lang w:val="en-US" w:eastAsia="zh-CN"/>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w:t>
            </w: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hint="eastAsia" w:ascii="宋体" w:hAnsi="宋体" w:eastAsia="宋体"/>
                <w:color w:val="auto"/>
                <w:sz w:val="21"/>
                <w:szCs w:val="21"/>
                <w:highlight w:val="none"/>
                <w:lang w:eastAsia="zh-CN"/>
              </w:rPr>
            </w:pPr>
            <w:r>
              <w:rPr>
                <w:rFonts w:hint="eastAsia" w:ascii="宋体" w:hAnsi="宋体" w:eastAsia="宋体"/>
                <w:b/>
                <w:color w:val="auto"/>
                <w:sz w:val="21"/>
                <w:szCs w:val="21"/>
                <w:highlight w:val="none"/>
              </w:rPr>
              <w:t>核心产品</w:t>
            </w:r>
            <w:r>
              <w:rPr>
                <w:rFonts w:hint="eastAsia" w:ascii="宋体" w:hAnsi="宋体"/>
                <w:b/>
                <w:color w:val="auto"/>
                <w:sz w:val="21"/>
                <w:szCs w:val="21"/>
                <w:highlight w:val="none"/>
                <w:lang w:eastAsia="zh-CN"/>
              </w:rPr>
              <w:t>（</w:t>
            </w:r>
            <w:r>
              <w:rPr>
                <w:rFonts w:hint="eastAsia" w:ascii="宋体" w:hAnsi="宋体"/>
                <w:b/>
                <w:color w:val="auto"/>
                <w:sz w:val="21"/>
                <w:szCs w:val="21"/>
                <w:highlight w:val="none"/>
                <w:lang w:val="en-US" w:eastAsia="zh-CN"/>
              </w:rPr>
              <w:t>无核心产品</w:t>
            </w:r>
            <w:r>
              <w:rPr>
                <w:rFonts w:hint="eastAsia" w:ascii="宋体" w:hAnsi="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b/>
                <w:color w:val="auto"/>
                <w:sz w:val="21"/>
                <w:szCs w:val="21"/>
                <w:highlight w:val="none"/>
                <w:lang w:eastAsia="zh-CN"/>
              </w:rPr>
              <w:t>磋商</w:t>
            </w:r>
            <w:r>
              <w:rPr>
                <w:rFonts w:hint="eastAsia" w:ascii="宋体" w:hAnsi="宋体" w:eastAsia="宋体"/>
                <w:b/>
                <w:color w:val="auto"/>
                <w:sz w:val="21"/>
                <w:szCs w:val="21"/>
                <w:highlight w:val="none"/>
              </w:rPr>
              <w:t>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保证金金额：人民币</w:t>
            </w:r>
            <w:r>
              <w:rPr>
                <w:rFonts w:hint="eastAsia" w:ascii="宋体" w:hAnsi="宋体"/>
                <w:b/>
                <w:color w:val="auto"/>
                <w:sz w:val="21"/>
                <w:szCs w:val="21"/>
                <w:highlight w:val="none"/>
                <w:lang w:val="en-US" w:eastAsia="zh-CN"/>
              </w:rPr>
              <w:t>肆万</w:t>
            </w:r>
            <w:r>
              <w:rPr>
                <w:rFonts w:hint="eastAsia" w:ascii="宋体" w:hAnsi="宋体" w:eastAsia="宋体"/>
                <w:color w:val="auto"/>
                <w:sz w:val="21"/>
                <w:szCs w:val="21"/>
                <w:highlight w:val="none"/>
              </w:rPr>
              <w:t>元整（￥</w:t>
            </w:r>
            <w:r>
              <w:rPr>
                <w:rFonts w:hint="eastAsia" w:ascii="宋体" w:hAnsi="宋体"/>
                <w:b/>
                <w:bCs/>
                <w:color w:val="auto"/>
                <w:sz w:val="21"/>
                <w:szCs w:val="21"/>
                <w:highlight w:val="none"/>
                <w:lang w:val="en-US" w:eastAsia="zh-CN"/>
              </w:rPr>
              <w:t>4</w:t>
            </w:r>
            <w:r>
              <w:rPr>
                <w:rFonts w:hint="eastAsia" w:ascii="宋体" w:hAnsi="宋体"/>
                <w:b/>
                <w:color w:val="auto"/>
                <w:sz w:val="21"/>
                <w:szCs w:val="21"/>
                <w:highlight w:val="none"/>
                <w:lang w:val="en-US" w:eastAsia="zh-CN"/>
              </w:rPr>
              <w:t>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保证金须严格按“</w:t>
            </w:r>
            <w:r>
              <w:rPr>
                <w:rFonts w:hint="eastAsia" w:ascii="宋体" w:hAnsi="宋体"/>
                <w:color w:val="auto"/>
                <w:sz w:val="21"/>
                <w:szCs w:val="21"/>
                <w:highlight w:val="none"/>
                <w:lang w:val="zh-CN"/>
              </w:rPr>
              <w:t>磋商文件</w:t>
            </w:r>
            <w:r>
              <w:rPr>
                <w:rFonts w:hint="eastAsia" w:ascii="宋体" w:hAnsi="宋体" w:eastAsia="宋体"/>
                <w:color w:val="auto"/>
                <w:sz w:val="21"/>
                <w:szCs w:val="21"/>
                <w:highlight w:val="none"/>
                <w:lang w:val="zh-CN"/>
              </w:rPr>
              <w:t>第</w:t>
            </w:r>
            <w:r>
              <w:rPr>
                <w:rFonts w:hint="eastAsia" w:ascii="宋体" w:hAnsi="宋体" w:eastAsia="宋体"/>
                <w:color w:val="auto"/>
                <w:sz w:val="21"/>
                <w:szCs w:val="21"/>
                <w:highlight w:val="none"/>
              </w:rPr>
              <w:t>四部分</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bookmarkStart w:id="406" w:name="_GoBack"/>
            <w:bookmarkEnd w:id="406"/>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号：6232590699050038718</w:t>
            </w:r>
          </w:p>
          <w:p>
            <w:pPr>
              <w:spacing w:after="0"/>
              <w:jc w:val="both"/>
              <w:rPr>
                <w:color w:val="auto"/>
                <w:highlight w:val="none"/>
              </w:rPr>
            </w:pPr>
            <w:r>
              <w:rPr>
                <w:rFonts w:hint="eastAsia" w:ascii="宋体" w:hAnsi="宋体" w:eastAsia="宋体"/>
                <w:color w:val="auto"/>
                <w:sz w:val="21"/>
                <w:szCs w:val="21"/>
                <w:highlight w:val="none"/>
                <w:lang w:val="zh-CN"/>
              </w:rPr>
              <w:t>（各</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b/>
                <w:bCs/>
                <w:color w:val="auto"/>
                <w:sz w:val="21"/>
                <w:szCs w:val="21"/>
                <w:highlight w:val="none"/>
                <w:lang w:val="zh-CN"/>
              </w:rPr>
              <w:t>磋商</w:t>
            </w:r>
            <w:r>
              <w:rPr>
                <w:rFonts w:hint="eastAsia" w:ascii="宋体" w:hAnsi="宋体" w:eastAsia="宋体"/>
                <w:b/>
                <w:bCs/>
                <w:color w:val="auto"/>
                <w:sz w:val="21"/>
                <w:szCs w:val="21"/>
                <w:highlight w:val="none"/>
                <w:lang w:val="zh-CN"/>
              </w:rPr>
              <w:t>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的保证金在采购结果公示发出后5个工作日内退还，中标</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w:t>
            </w:r>
            <w:r>
              <w:rPr>
                <w:rFonts w:hint="eastAsia" w:ascii="宋体" w:hAnsi="宋体"/>
                <w:color w:val="auto"/>
                <w:sz w:val="21"/>
                <w:szCs w:val="21"/>
                <w:highlight w:val="none"/>
                <w:lang w:val="zh-CN"/>
              </w:rPr>
              <w:t>供应商</w:t>
            </w:r>
            <w:r>
              <w:rPr>
                <w:rFonts w:hint="eastAsia" w:ascii="宋体" w:hAnsi="宋体" w:eastAsia="宋体"/>
                <w:color w:val="auto"/>
                <w:sz w:val="21"/>
                <w:szCs w:val="21"/>
                <w:highlight w:val="none"/>
                <w:lang w:val="zh-CN"/>
              </w:rPr>
              <w:t>应制作《</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保证金汇入情况说明》随</w:t>
            </w:r>
            <w:r>
              <w:rPr>
                <w:rFonts w:hint="eastAsia" w:ascii="宋体" w:hAnsi="宋体"/>
                <w:color w:val="auto"/>
                <w:sz w:val="21"/>
                <w:szCs w:val="21"/>
                <w:highlight w:val="none"/>
                <w:lang w:val="zh-CN"/>
              </w:rPr>
              <w:t>报价</w:t>
            </w:r>
            <w:r>
              <w:rPr>
                <w:rFonts w:hint="eastAsia" w:ascii="宋体" w:hAnsi="宋体" w:eastAsia="宋体"/>
                <w:color w:val="auto"/>
                <w:sz w:val="21"/>
                <w:szCs w:val="21"/>
                <w:highlight w:val="none"/>
                <w:lang w:val="zh-CN"/>
              </w:rPr>
              <w:t>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w:t>
            </w:r>
            <w:r>
              <w:rPr>
                <w:rFonts w:hint="eastAsia" w:ascii="宋体" w:hAnsi="宋体"/>
                <w:color w:val="auto"/>
                <w:sz w:val="21"/>
                <w:szCs w:val="21"/>
                <w:highlight w:val="none"/>
                <w:lang w:val="zh-CN"/>
              </w:rPr>
              <w:t>磋商</w:t>
            </w:r>
            <w:r>
              <w:rPr>
                <w:rFonts w:hint="eastAsia" w:ascii="宋体" w:hAnsi="宋体" w:eastAsia="宋体"/>
                <w:color w:val="auto"/>
                <w:sz w:val="21"/>
                <w:szCs w:val="21"/>
                <w:highlight w:val="none"/>
                <w:lang w:val="zh-CN"/>
              </w:rPr>
              <w:t>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供应商</w:t>
            </w:r>
            <w:r>
              <w:rPr>
                <w:rFonts w:hint="eastAsia" w:ascii="宋体" w:hAnsi="宋体" w:eastAsia="宋体"/>
                <w:b/>
                <w:color w:val="auto"/>
                <w:sz w:val="21"/>
                <w:szCs w:val="21"/>
                <w:highlight w:val="none"/>
              </w:rPr>
              <w:t>应提交以下</w:t>
            </w:r>
            <w:r>
              <w:rPr>
                <w:rFonts w:hint="eastAsia" w:ascii="宋体" w:hAnsi="宋体"/>
                <w:b/>
                <w:color w:val="auto"/>
                <w:sz w:val="21"/>
                <w:szCs w:val="21"/>
                <w:highlight w:val="none"/>
                <w:lang w:eastAsia="zh-CN"/>
              </w:rPr>
              <w:t>响应文件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报价</w:t>
            </w:r>
            <w:r>
              <w:rPr>
                <w:rFonts w:hint="eastAsia" w:ascii="宋体" w:hAnsi="宋体" w:eastAsia="宋体"/>
                <w:b/>
                <w:color w:val="auto"/>
                <w:sz w:val="21"/>
                <w:szCs w:val="21"/>
                <w:highlight w:val="none"/>
                <w:lang w:eastAsia="zh-CN"/>
              </w:rPr>
              <w:t>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b/>
                <w:color w:val="auto"/>
                <w:sz w:val="21"/>
                <w:szCs w:val="21"/>
                <w:highlight w:val="none"/>
                <w:lang w:eastAsia="zh-CN"/>
              </w:rPr>
              <w:t>响应文件</w:t>
            </w:r>
            <w:r>
              <w:rPr>
                <w:rFonts w:hint="eastAsia" w:ascii="宋体" w:hAnsi="宋体" w:eastAsia="宋体"/>
                <w:b/>
                <w:color w:val="auto"/>
                <w:sz w:val="21"/>
                <w:szCs w:val="21"/>
                <w:highlight w:val="none"/>
              </w:rPr>
              <w:t>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val="en-US" w:eastAsia="zh-CN"/>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17</w:t>
            </w:r>
          </w:p>
        </w:tc>
        <w:tc>
          <w:tcPr>
            <w:tcW w:w="7532" w:type="dxa"/>
            <w:gridSpan w:val="4"/>
            <w:vAlign w:val="center"/>
          </w:tcPr>
          <w:p>
            <w:pPr>
              <w:spacing w:after="0"/>
              <w:jc w:val="both"/>
              <w:rPr>
                <w:rFonts w:hint="eastAsia" w:ascii="宋体" w:hAnsi="宋体"/>
                <w:b/>
                <w:bCs/>
                <w:color w:val="auto"/>
                <w:sz w:val="21"/>
                <w:szCs w:val="21"/>
                <w:highlight w:val="none"/>
                <w:lang w:eastAsia="zh-CN"/>
              </w:rPr>
            </w:pPr>
            <w:r>
              <w:rPr>
                <w:rFonts w:hint="eastAsia" w:ascii="宋体" w:hAnsi="宋体" w:eastAsia="宋体"/>
                <w:b/>
                <w:color w:val="auto"/>
                <w:sz w:val="21"/>
                <w:szCs w:val="21"/>
              </w:rPr>
              <w:t>小型或微型企业、监狱企业、残疾人福利性单位</w:t>
            </w:r>
            <w:r>
              <w:rPr>
                <w:rFonts w:hint="eastAsia" w:ascii="宋体" w:hAnsi="宋体"/>
                <w:b/>
                <w:color w:val="auto"/>
                <w:sz w:val="21"/>
                <w:szCs w:val="21"/>
                <w:lang w:eastAsia="zh-CN"/>
              </w:rPr>
              <w:t>磋商</w:t>
            </w:r>
            <w:r>
              <w:rPr>
                <w:rFonts w:hint="eastAsia" w:ascii="宋体" w:hAnsi="宋体" w:eastAsia="宋体"/>
                <w:b/>
                <w:color w:val="auto"/>
                <w:sz w:val="21"/>
                <w:szCs w:val="21"/>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hint="eastAsia" w:ascii="宋体" w:hAnsi="宋体"/>
                <w:color w:val="auto"/>
                <w:sz w:val="21"/>
                <w:szCs w:val="21"/>
                <w:highlight w:val="none"/>
                <w:lang w:val="en-US" w:eastAsia="zh-CN"/>
              </w:rPr>
            </w:pPr>
          </w:p>
        </w:tc>
        <w:tc>
          <w:tcPr>
            <w:tcW w:w="7532" w:type="dxa"/>
            <w:gridSpan w:val="4"/>
            <w:vAlign w:val="center"/>
          </w:tcPr>
          <w:p>
            <w:pPr>
              <w:spacing w:after="0"/>
              <w:jc w:val="both"/>
              <w:rPr>
                <w:rFonts w:hint="eastAsia" w:ascii="宋体" w:hAnsi="宋体"/>
                <w:b/>
                <w:bCs/>
                <w:color w:val="auto"/>
                <w:sz w:val="21"/>
                <w:szCs w:val="21"/>
                <w:highlight w:val="none"/>
                <w:lang w:eastAsia="zh-CN"/>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hint="eastAsia" w:ascii="宋体" w:hAnsi="宋体"/>
                <w:color w:val="auto"/>
                <w:sz w:val="21"/>
                <w:szCs w:val="21"/>
                <w:highlight w:val="none"/>
                <w:lang w:val="en-US" w:eastAsia="zh-CN"/>
              </w:rPr>
            </w:pPr>
          </w:p>
        </w:tc>
        <w:tc>
          <w:tcPr>
            <w:tcW w:w="7532" w:type="dxa"/>
            <w:gridSpan w:val="4"/>
            <w:vAlign w:val="center"/>
          </w:tcPr>
          <w:p>
            <w:pPr>
              <w:spacing w:after="0"/>
              <w:jc w:val="both"/>
              <w:rPr>
                <w:rFonts w:hint="eastAsia" w:ascii="宋体" w:hAnsi="宋体"/>
                <w:b/>
                <w:bCs/>
                <w:color w:val="auto"/>
                <w:sz w:val="21"/>
                <w:szCs w:val="21"/>
                <w:highlight w:val="none"/>
                <w:lang w:eastAsia="zh-CN"/>
              </w:rPr>
            </w:pPr>
            <w:r>
              <w:rPr>
                <w:rFonts w:hint="eastAsia" w:ascii="宋体" w:hAnsi="宋体"/>
                <w:b/>
                <w:color w:val="auto"/>
                <w:sz w:val="21"/>
                <w:szCs w:val="21"/>
                <w:lang w:eastAsia="zh-CN"/>
              </w:rPr>
              <w:t>供应商</w:t>
            </w:r>
            <w:r>
              <w:rPr>
                <w:rFonts w:hint="eastAsia" w:ascii="宋体" w:hAnsi="宋体" w:eastAsia="宋体"/>
                <w:b/>
                <w:color w:val="auto"/>
                <w:sz w:val="21"/>
                <w:szCs w:val="21"/>
              </w:rPr>
              <w:t>符合须知“优惠政策”中联合体规定的</w:t>
            </w:r>
            <w:r>
              <w:rPr>
                <w:rFonts w:hint="eastAsia" w:ascii="宋体" w:hAnsi="宋体"/>
                <w:b/>
                <w:color w:val="auto"/>
                <w:sz w:val="21"/>
                <w:szCs w:val="21"/>
                <w:lang w:eastAsia="zh-CN"/>
              </w:rPr>
              <w:t>响应</w:t>
            </w:r>
            <w:r>
              <w:rPr>
                <w:rFonts w:hint="eastAsia" w:ascii="宋体" w:hAnsi="宋体" w:eastAsia="宋体"/>
                <w:b/>
                <w:color w:val="auto"/>
                <w:sz w:val="21"/>
                <w:szCs w:val="21"/>
              </w:rPr>
              <w:t>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hint="eastAsia" w:ascii="宋体" w:hAnsi="宋体"/>
                <w:color w:val="auto"/>
                <w:sz w:val="21"/>
                <w:szCs w:val="21"/>
                <w:highlight w:val="none"/>
                <w:lang w:val="en-US" w:eastAsia="zh-CN"/>
              </w:rPr>
            </w:pPr>
          </w:p>
        </w:tc>
        <w:tc>
          <w:tcPr>
            <w:tcW w:w="7532" w:type="dxa"/>
            <w:gridSpan w:val="4"/>
            <w:vAlign w:val="center"/>
          </w:tcPr>
          <w:p>
            <w:pPr>
              <w:spacing w:after="0"/>
              <w:jc w:val="both"/>
              <w:rPr>
                <w:rFonts w:hint="eastAsia" w:ascii="宋体" w:hAnsi="宋体"/>
                <w:b/>
                <w:bCs/>
                <w:color w:val="auto"/>
                <w:sz w:val="21"/>
                <w:szCs w:val="21"/>
                <w:highlight w:val="none"/>
                <w:lang w:eastAsia="zh-CN"/>
              </w:rPr>
            </w:pPr>
            <w:r>
              <w:rPr>
                <w:rFonts w:hint="eastAsia" w:ascii="宋体" w:hAnsi="宋体" w:eastAsia="宋体"/>
                <w:color w:val="auto"/>
                <w:sz w:val="21"/>
                <w:szCs w:val="21"/>
              </w:rPr>
              <w:t>对于联合协议或者分包意向协议约定小微企业的合同份额占到合同总金额30%以上的，报价给予</w:t>
            </w:r>
            <w:r>
              <w:rPr>
                <w:rFonts w:hint="default" w:ascii="宋体" w:hAnsi="宋体" w:eastAsia="宋体"/>
                <w:b/>
                <w:bCs/>
                <w:color w:val="auto"/>
                <w:sz w:val="21"/>
                <w:szCs w:val="21"/>
                <w:u w:val="single"/>
              </w:rPr>
              <w:t>2%</w:t>
            </w:r>
            <w:r>
              <w:rPr>
                <w:rFonts w:hint="eastAsia" w:ascii="宋体" w:hAnsi="宋体" w:eastAsia="宋体"/>
                <w:color w:val="auto"/>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hint="default" w:ascii="宋体" w:hAnsi="宋体" w:eastAsia="宋体"/>
                <w:color w:val="auto"/>
                <w:sz w:val="21"/>
                <w:szCs w:val="21"/>
                <w:highlight w:val="none"/>
                <w:lang w:val="en-US" w:eastAsia="zh-CN"/>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所投产品为获得节能产品认证或环境标志产品认证证书的价格折扣标准（相关规定详见</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须知“</w:t>
            </w:r>
            <w:r>
              <w:rPr>
                <w:rFonts w:hint="eastAsia" w:ascii="宋体" w:hAnsi="宋体"/>
                <w:b/>
                <w:bCs/>
                <w:color w:val="auto"/>
                <w:sz w:val="21"/>
                <w:szCs w:val="21"/>
                <w:highlight w:val="none"/>
                <w:lang w:val="en-US" w:eastAsia="zh-CN"/>
              </w:rPr>
              <w:t>优惠</w:t>
            </w:r>
            <w:r>
              <w:rPr>
                <w:rFonts w:hint="eastAsia" w:ascii="宋体" w:hAnsi="宋体" w:eastAsia="宋体"/>
                <w:b/>
                <w:bCs/>
                <w:color w:val="auto"/>
                <w:sz w:val="21"/>
                <w:szCs w:val="21"/>
                <w:highlight w:val="none"/>
              </w:rPr>
              <w:t>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8</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收 款 人：</w:t>
            </w:r>
            <w:r>
              <w:rPr>
                <w:rFonts w:hint="eastAsia" w:ascii="宋体" w:hAnsi="宋体" w:eastAsia="宋体"/>
                <w:color w:val="auto"/>
                <w:sz w:val="21"/>
                <w:szCs w:val="21"/>
                <w:highlight w:val="none"/>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须知的具体补充和修改，如有矛盾，应以本资料表为准。</w:t>
            </w:r>
          </w:p>
        </w:tc>
      </w:tr>
    </w:tbl>
    <w:p>
      <w:pPr>
        <w:bidi w:val="0"/>
        <w:rPr>
          <w:rFonts w:hint="eastAsia"/>
          <w:color w:val="auto"/>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8"/>
        <w:ind w:left="0" w:leftChars="0" w:firstLine="0" w:firstLineChars="0"/>
        <w:rPr>
          <w:rFonts w:hint="eastAsia" w:ascii="宋体" w:hAnsi="宋体" w:eastAsia="宋体" w:cs="宋体"/>
          <w:color w:val="auto"/>
          <w:sz w:val="21"/>
          <w:szCs w:val="21"/>
          <w:highlight w:val="none"/>
        </w:rPr>
      </w:pPr>
    </w:p>
    <w:p>
      <w:pPr>
        <w:pStyle w:val="3"/>
        <w:keepNext/>
        <w:keepLines/>
        <w:pageBreakBefore w:val="0"/>
        <w:widowControl/>
        <w:kinsoku/>
        <w:wordWrap/>
        <w:overflowPunct/>
        <w:topLinePunct w:val="0"/>
        <w:autoSpaceDE/>
        <w:autoSpaceDN/>
        <w:bidi w:val="0"/>
        <w:adjustRightInd w:val="0"/>
        <w:snapToGrid w:val="0"/>
        <w:spacing w:before="0" w:after="0" w:line="360" w:lineRule="auto"/>
        <w:textAlignment w:val="auto"/>
        <w:rPr>
          <w:rFonts w:hint="eastAsia"/>
          <w:color w:val="auto"/>
          <w:sz w:val="28"/>
          <w:szCs w:val="28"/>
          <w:highlight w:val="none"/>
          <w:lang w:val="en-US" w:eastAsia="zh-CN"/>
        </w:rPr>
      </w:pPr>
      <w:bookmarkStart w:id="8" w:name="_Toc13473"/>
      <w:bookmarkStart w:id="9" w:name="_Toc4043"/>
      <w:bookmarkStart w:id="10" w:name="_Hlk55300595"/>
      <w:bookmarkStart w:id="11" w:name="_Toc9572"/>
      <w:r>
        <w:rPr>
          <w:rFonts w:hint="eastAsia"/>
          <w:color w:val="auto"/>
          <w:sz w:val="28"/>
          <w:szCs w:val="28"/>
          <w:highlight w:val="none"/>
          <w:lang w:val="en-US" w:eastAsia="zh-CN"/>
        </w:rPr>
        <w:t xml:space="preserve">第三部分 </w:t>
      </w:r>
      <w:bookmarkStart w:id="12" w:name="_Hlk55300643"/>
      <w:bookmarkStart w:id="13" w:name="_Toc71133523"/>
      <w:r>
        <w:rPr>
          <w:rFonts w:hint="eastAsia"/>
          <w:color w:val="auto"/>
          <w:sz w:val="28"/>
          <w:szCs w:val="28"/>
          <w:highlight w:val="none"/>
          <w:lang w:val="en-US" w:eastAsia="zh-CN"/>
        </w:rPr>
        <w:t>评分</w:t>
      </w:r>
      <w:bookmarkStart w:id="14" w:name="_Hlk55209874"/>
      <w:r>
        <w:rPr>
          <w:rFonts w:hint="eastAsia"/>
          <w:color w:val="auto"/>
          <w:sz w:val="28"/>
          <w:szCs w:val="28"/>
          <w:highlight w:val="none"/>
          <w:lang w:val="en-US" w:eastAsia="zh-CN"/>
        </w:rPr>
        <w:t>权重分配表</w:t>
      </w:r>
      <w:bookmarkEnd w:id="8"/>
      <w:bookmarkEnd w:id="9"/>
      <w:bookmarkEnd w:id="12"/>
      <w:bookmarkEnd w:id="13"/>
      <w:bookmarkEnd w:id="14"/>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3160"/>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bookmarkStart w:id="15" w:name="_Hlk55209847"/>
            <w:r>
              <w:rPr>
                <w:rFonts w:hint="eastAsia" w:ascii="宋体" w:hAnsi="宋体" w:eastAsia="宋体" w:cs="宋体"/>
                <w:b/>
                <w:color w:val="auto"/>
                <w:sz w:val="21"/>
                <w:szCs w:val="21"/>
                <w:highlight w:val="none"/>
              </w:rPr>
              <w:t>序号</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评分项</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价格评分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15"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85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技术评分</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468" w:type="pct"/>
            <w:gridSpan w:val="2"/>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53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bookmarkEnd w:id="10"/>
      <w:bookmarkEnd w:id="15"/>
    </w:tbl>
    <w:p>
      <w:pPr>
        <w:bidi w:val="0"/>
        <w:rPr>
          <w:rFonts w:hint="eastAsia"/>
          <w:color w:val="auto"/>
          <w:highlight w:val="none"/>
        </w:rPr>
      </w:pPr>
    </w:p>
    <w:p>
      <w:pPr>
        <w:pStyle w:val="4"/>
        <w:spacing w:before="0" w:after="0" w:line="240" w:lineRule="auto"/>
        <w:jc w:val="center"/>
        <w:rPr>
          <w:rFonts w:ascii="宋体" w:hAnsi="宋体" w:eastAsia="宋体" w:cs="宋体"/>
          <w:color w:val="auto"/>
          <w:sz w:val="24"/>
          <w:szCs w:val="24"/>
          <w:highlight w:val="none"/>
        </w:rPr>
      </w:pPr>
      <w:bookmarkStart w:id="16" w:name="_Toc18413"/>
      <w:bookmarkStart w:id="17" w:name="_Toc462"/>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商务技术评分权重细则表</w:t>
      </w:r>
      <w:bookmarkEnd w:id="11"/>
      <w:bookmarkEnd w:id="16"/>
      <w:bookmarkEnd w:id="17"/>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290"/>
        <w:gridCol w:w="5920"/>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val="en-US" w:eastAsia="zh-CN"/>
              </w:rPr>
              <w:t>价格评分（30分）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7210"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要求且价格最低的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报价为评标基准价，其价格分为满分。其他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的价格分统一按照下列公式计算：</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报价得分=(评标基准价／</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报价)×价格权值</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22" w:type="dxa"/>
            <w:gridSpan w:val="4"/>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商务评分（15分）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651"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0" w:type="dxa"/>
            <w:tcBorders>
              <w:top w:val="single" w:color="auto" w:sz="4" w:space="0"/>
              <w:left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相关业绩</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w:t>
            </w:r>
            <w:r>
              <w:rPr>
                <w:rFonts w:hint="eastAsia" w:ascii="宋体" w:hAnsi="宋体" w:eastAsia="宋体" w:cs="宋体"/>
                <w:bCs/>
                <w:color w:val="auto"/>
                <w:sz w:val="21"/>
                <w:szCs w:val="21"/>
                <w:highlight w:val="none"/>
                <w:lang w:val="en-US" w:eastAsia="zh-CN"/>
              </w:rPr>
              <w:t>具有</w:t>
            </w:r>
            <w:r>
              <w:rPr>
                <w:rFonts w:hint="eastAsia" w:ascii="宋体" w:hAnsi="宋体" w:eastAsia="宋体" w:cs="宋体"/>
                <w:bCs/>
                <w:color w:val="auto"/>
                <w:sz w:val="21"/>
                <w:szCs w:val="21"/>
                <w:highlight w:val="none"/>
                <w:lang w:val="zh-CN"/>
              </w:rPr>
              <w:t>路面</w:t>
            </w:r>
            <w:r>
              <w:rPr>
                <w:rFonts w:hint="eastAsia" w:ascii="宋体" w:hAnsi="宋体" w:eastAsia="宋体" w:cs="宋体"/>
                <w:bCs/>
                <w:color w:val="auto"/>
                <w:sz w:val="21"/>
                <w:szCs w:val="21"/>
                <w:highlight w:val="none"/>
                <w:lang w:val="en-US" w:eastAsia="zh-CN"/>
              </w:rPr>
              <w:t>修复（或道路工程或市政维护）类</w:t>
            </w:r>
            <w:r>
              <w:rPr>
                <w:rFonts w:hint="eastAsia" w:ascii="宋体" w:hAnsi="宋体" w:eastAsia="宋体" w:cs="宋体"/>
                <w:bCs/>
                <w:color w:val="auto"/>
                <w:sz w:val="21"/>
                <w:szCs w:val="21"/>
                <w:highlight w:val="none"/>
                <w:lang w:val="zh-CN"/>
              </w:rPr>
              <w:t>项目业绩</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，每提供一个合同业绩得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注：须提供合同复印件并加盖供应商公章，不符合以上要求</w:t>
            </w:r>
            <w:r>
              <w:rPr>
                <w:rFonts w:hint="eastAsia" w:asci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lang w:val="zh-CN"/>
              </w:rPr>
              <w:t>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服务响应</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提供的服务响应时间承诺进行评分。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承诺在接到采购人通知后1小时内到现场，得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承诺在接到采购人通知后2小时内到现场，得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承诺在接到采购人通知后3小时内到现场，得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未承诺或承诺在接到采购人通知后超过3小时到现场，不得分。</w:t>
            </w:r>
          </w:p>
          <w:p>
            <w:pPr>
              <w:pStyle w:val="35"/>
              <w:keepNext w:val="0"/>
              <w:keepLines w:val="0"/>
              <w:pageBreakBefore w:val="0"/>
              <w:kinsoku/>
              <w:wordWrap/>
              <w:overflowPunct/>
              <w:topLinePunct w:val="0"/>
              <w:autoSpaceDE/>
              <w:autoSpaceDN/>
              <w:bidi w:val="0"/>
              <w:spacing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注：须提供服务承诺书并加盖</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公章，否则不得分。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技术评分（55分）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项目的理解</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根据</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对本项目现场的熟悉程度、理解及项目重点和难点的分析，以及根据项目重点和难点所采取的措施等进行</w:t>
            </w:r>
            <w:r>
              <w:rPr>
                <w:rFonts w:hint="eastAsia" w:ascii="宋体" w:hAnsi="宋体" w:eastAsia="宋体" w:cs="宋体"/>
                <w:bCs/>
                <w:color w:val="auto"/>
                <w:sz w:val="21"/>
                <w:szCs w:val="21"/>
                <w:highlight w:val="none"/>
                <w:lang w:val="en-US" w:eastAsia="zh-CN"/>
              </w:rPr>
              <w:t>评价</w:t>
            </w:r>
            <w:r>
              <w:rPr>
                <w:rFonts w:hint="eastAsia" w:ascii="宋体" w:hAnsi="宋体" w:eastAsia="宋体" w:cs="宋体"/>
                <w:bCs/>
                <w:color w:val="auto"/>
                <w:sz w:val="21"/>
                <w:szCs w:val="21"/>
                <w:highlight w:val="none"/>
              </w:rPr>
              <w:t>。</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现场的熟悉程度深入，重点和难点分析合理、所采取的应急计划和措施可行性强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现场的熟悉程度一般，重点和难点分析完整、所采取的应急计划和措施可行性一般，得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现场的熟悉程度肤浅，重点和难点分析基本合理、所采取的应急计划和措施可行性较差，得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施工组织方案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施工组织方案的科学性、可行性、完善性等进行综合评价：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施工组织方案针对性强、科学合理、可行有效，得</w:t>
            </w:r>
            <w:r>
              <w:rPr>
                <w:rFonts w:hint="eastAsia" w:ascii="宋体" w:hAnsi="宋体" w:eastAsia="宋体" w:cs="宋体"/>
                <w:bCs/>
                <w:color w:val="auto"/>
                <w:sz w:val="21"/>
                <w:szCs w:val="21"/>
                <w:highlight w:val="none"/>
                <w:lang w:val="en-US" w:eastAsia="zh-CN"/>
              </w:rPr>
              <w:t>1</w:t>
            </w:r>
            <w:r>
              <w:rPr>
                <w:rFonts w:hint="eastAsia" w:ascii="宋体"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施工组织方案针对性一般、较为科学合理，得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施工组织方案针对性差、不够科学合理，得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eastAsia="宋体" w:cs="宋体"/>
                <w:bCs/>
                <w:color w:val="auto"/>
                <w:sz w:val="21"/>
                <w:szCs w:val="21"/>
              </w:rPr>
              <w:t>安全文明方案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提供的安全文明措施、配套设备设施、达到的标准及承诺等进行综合评价: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完整科学、可行性强，完全满足并优于招标文件要求，得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完整、可行性一般，符合招标文件要求，得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290"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应急方案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根据供应商提供的应急方案（包括但不限于人员应急方案、现场施工应急方案、恶劣天气应急方案等）进行综合评审：</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方案科学合理完整，可操作性强，可行性强，针对性强，得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方案基本完整，可操作性一般，可行性一般，针对性一般，得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方案不完整，可操作性差，可行性差，针对性差，得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ascii="宋体" w:hAnsi="宋体" w:eastAsia="宋体" w:cs="宋体"/>
                <w:color w:val="auto"/>
                <w:sz w:val="21"/>
                <w:szCs w:val="21"/>
                <w:highlight w:val="none"/>
              </w:rPr>
            </w:pPr>
            <w:r>
              <w:rPr>
                <w:rFonts w:hint="eastAsia" w:ascii="宋体" w:eastAsia="宋体" w:cs="宋体"/>
                <w:bCs/>
                <w:color w:val="auto"/>
                <w:sz w:val="21"/>
                <w:szCs w:val="21"/>
              </w:rPr>
              <w:t>验收方案</w:t>
            </w:r>
          </w:p>
        </w:tc>
        <w:tc>
          <w:tcPr>
            <w:tcW w:w="59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en-US" w:eastAsia="zh-CN"/>
              </w:rPr>
              <w:t>供应商</w:t>
            </w:r>
            <w:r>
              <w:rPr>
                <w:rFonts w:hint="eastAsia" w:ascii="宋体" w:hAnsi="宋体" w:cs="宋体"/>
                <w:bCs/>
                <w:color w:val="auto"/>
                <w:sz w:val="21"/>
                <w:szCs w:val="21"/>
                <w:highlight w:val="none"/>
                <w:lang w:val="en-US" w:eastAsia="zh-CN"/>
              </w:rPr>
              <w:t>提供的</w:t>
            </w:r>
            <w:r>
              <w:rPr>
                <w:rFonts w:hint="eastAsia" w:ascii="宋体" w:hAnsi="宋体" w:eastAsia="宋体" w:cs="宋体"/>
                <w:bCs/>
                <w:color w:val="auto"/>
                <w:sz w:val="21"/>
                <w:szCs w:val="21"/>
                <w:highlight w:val="none"/>
                <w:lang w:val="zh-CN"/>
              </w:rPr>
              <w:t>验收方案、承诺验收达到标准、整改方案及标准等进行综合评价:</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完整科学、可行性强，完全满足并优于招标文件要求，得</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完整、可行性一般，符合招标文件要求，得</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en-US" w:eastAsia="zh-CN"/>
              </w:rPr>
              <w:t>方案</w:t>
            </w:r>
            <w:r>
              <w:rPr>
                <w:rFonts w:hint="eastAsia" w:ascii="宋体" w:hAnsi="宋体" w:eastAsia="宋体" w:cs="宋体"/>
                <w:bCs/>
                <w:color w:val="auto"/>
                <w:sz w:val="21"/>
                <w:szCs w:val="21"/>
                <w:highlight w:val="none"/>
                <w:lang w:val="zh-CN"/>
              </w:rPr>
              <w:t>基本完整、可行性较差，基本符合招标文件要求，得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未提供方案，得0分。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line="240" w:lineRule="auto"/>
              <w:jc w:val="center"/>
              <w:textAlignment w:val="auto"/>
              <w:rPr>
                <w:rFonts w:hint="default" w:ascii="宋体" w:eastAsia="宋体" w:cs="宋体"/>
                <w:bCs/>
                <w:color w:val="auto"/>
                <w:sz w:val="21"/>
                <w:szCs w:val="21"/>
                <w:lang w:val="en-US" w:eastAsia="zh-CN"/>
              </w:rPr>
            </w:pPr>
            <w:r>
              <w:rPr>
                <w:rFonts w:hint="eastAsia" w:ascii="宋体" w:eastAsia="宋体" w:cs="宋体"/>
                <w:bCs/>
                <w:color w:val="auto"/>
                <w:sz w:val="21"/>
                <w:szCs w:val="21"/>
                <w:lang w:val="en-US" w:eastAsia="zh-CN"/>
              </w:rPr>
              <w:t>规章制度</w:t>
            </w:r>
          </w:p>
        </w:tc>
        <w:tc>
          <w:tcPr>
            <w:tcW w:w="5920" w:type="dxa"/>
            <w:tcBorders>
              <w:top w:val="single" w:color="auto" w:sz="4" w:space="0"/>
              <w:left w:val="single" w:color="auto" w:sz="4" w:space="0"/>
              <w:bottom w:val="single" w:color="auto" w:sz="4" w:space="0"/>
              <w:right w:val="single" w:color="auto" w:sz="4" w:space="0"/>
            </w:tcBorders>
            <w:vAlign w:val="center"/>
          </w:tcPr>
          <w:p>
            <w:pPr>
              <w:pStyle w:val="35"/>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根据投标人的规章管理制度进行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评审：</w:t>
            </w:r>
          </w:p>
          <w:p>
            <w:pPr>
              <w:pStyle w:val="35"/>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rPr>
              <w:t>5分</w:t>
            </w:r>
            <w:r>
              <w:rPr>
                <w:rFonts w:hint="eastAsia" w:ascii="宋体" w:eastAsia="宋体" w:cs="宋体"/>
                <w:color w:val="auto"/>
                <w:sz w:val="21"/>
                <w:szCs w:val="21"/>
                <w:highlight w:val="none"/>
                <w:lang w:val="zh-CN"/>
              </w:rPr>
              <w:t>；</w:t>
            </w:r>
          </w:p>
          <w:p>
            <w:pPr>
              <w:pStyle w:val="35"/>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制度基本完整，可行性一般，得</w:t>
            </w:r>
            <w:r>
              <w:rPr>
                <w:rFonts w:hint="eastAsia" w:ascii="宋体" w:eastAsia="宋体" w:cs="宋体"/>
                <w:color w:val="auto"/>
                <w:sz w:val="21"/>
                <w:szCs w:val="21"/>
                <w:highlight w:val="none"/>
              </w:rPr>
              <w:t>3</w:t>
            </w:r>
            <w:r>
              <w:rPr>
                <w:rFonts w:hint="eastAsia" w:ascii="宋体" w:eastAsia="宋体" w:cs="宋体"/>
                <w:color w:val="auto"/>
                <w:sz w:val="21"/>
                <w:szCs w:val="21"/>
                <w:highlight w:val="none"/>
                <w:lang w:val="zh-CN"/>
              </w:rPr>
              <w:t>分；</w:t>
            </w:r>
          </w:p>
          <w:p>
            <w:pPr>
              <w:pStyle w:val="35"/>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制度不完整，可行性较差，得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分；</w:t>
            </w:r>
          </w:p>
          <w:p>
            <w:pPr>
              <w:keepNext w:val="0"/>
              <w:keepLines w:val="0"/>
              <w:pageBreakBefore w:val="0"/>
              <w:kinsoku/>
              <w:wordWrap/>
              <w:overflowPunct/>
              <w:topLinePunct w:val="0"/>
              <w:autoSpaceDE/>
              <w:autoSpaceDN/>
              <w:bidi w:val="0"/>
              <w:spacing w:after="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未提供</w:t>
            </w:r>
            <w:r>
              <w:rPr>
                <w:rFonts w:hint="eastAsia" w:ascii="宋体" w:hAnsi="宋体" w:cs="宋体"/>
                <w:bCs/>
                <w:color w:val="auto"/>
                <w:sz w:val="21"/>
                <w:szCs w:val="21"/>
                <w:highlight w:val="none"/>
                <w:lang w:val="en-US" w:eastAsia="zh-CN"/>
              </w:rPr>
              <w:t>制度</w:t>
            </w:r>
            <w:r>
              <w:rPr>
                <w:rFonts w:hint="eastAsia" w:ascii="宋体" w:hAnsi="宋体" w:eastAsia="宋体" w:cs="宋体"/>
                <w:bCs/>
                <w:color w:val="auto"/>
                <w:sz w:val="21"/>
                <w:szCs w:val="21"/>
                <w:highlight w:val="none"/>
                <w:lang w:val="zh-CN"/>
              </w:rPr>
              <w:t>，得0分。</w:t>
            </w:r>
          </w:p>
        </w:tc>
        <w:tc>
          <w:tcPr>
            <w:tcW w:w="661" w:type="dxa"/>
            <w:tcBorders>
              <w:top w:val="single" w:color="auto" w:sz="4" w:space="0"/>
              <w:left w:val="single" w:color="auto" w:sz="4" w:space="0"/>
              <w:bottom w:val="single" w:color="auto" w:sz="4" w:space="0"/>
              <w:right w:val="single" w:color="auto" w:sz="4" w:space="0"/>
            </w:tcBorders>
            <w:vAlign w:val="center"/>
          </w:tcPr>
          <w:p>
            <w:pPr>
              <w:pStyle w:val="35"/>
              <w:keepNext w:val="0"/>
              <w:keepLines w:val="0"/>
              <w:pageBreakBefore w:val="0"/>
              <w:kinsoku/>
              <w:wordWrap/>
              <w:overflowPunct/>
              <w:topLinePunct w:val="0"/>
              <w:autoSpaceDE/>
              <w:autoSpaceDN/>
              <w:bidi w:val="0"/>
              <w:spacing w:line="240" w:lineRule="auto"/>
              <w:ind w:left="0" w:leftChars="0" w:firstLine="0" w:firstLineChars="0"/>
              <w:jc w:val="center"/>
              <w:textAlignment w:val="auto"/>
              <w:rPr>
                <w:rFonts w:hint="default" w:ascii="宋体" w:hAnsi="宋体" w:eastAsia="宋体" w:cs="宋体"/>
                <w:bCs/>
                <w:color w:val="auto"/>
                <w:sz w:val="21"/>
                <w:szCs w:val="21"/>
                <w:highlight w:val="none"/>
                <w:lang w:val="en-US" w:eastAsia="zh-CN"/>
              </w:rPr>
            </w:pPr>
            <w:r>
              <w:rPr>
                <w:rFonts w:hint="eastAsia" w:ascii="宋体" w:eastAsia="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除</w:t>
            </w:r>
            <w:r>
              <w:rPr>
                <w:rFonts w:hint="eastAsia" w:ascii="宋体" w:hAnsi="宋体" w:eastAsia="宋体" w:cs="宋体"/>
                <w:b/>
                <w:color w:val="auto"/>
                <w:sz w:val="21"/>
                <w:szCs w:val="21"/>
                <w:highlight w:val="none"/>
              </w:rPr>
              <w:t>特殊说明外，以上评审项，同一证明文件不重复计分。</w:t>
            </w:r>
          </w:p>
          <w:p>
            <w:pPr>
              <w:keepNext w:val="0"/>
              <w:keepLines w:val="0"/>
              <w:pageBreakBefore w:val="0"/>
              <w:tabs>
                <w:tab w:val="left" w:pos="907"/>
              </w:tabs>
              <w:kinsoku/>
              <w:wordWrap/>
              <w:overflowPunct/>
              <w:topLinePunct w:val="0"/>
              <w:autoSpaceDE/>
              <w:autoSpaceDN/>
              <w:bidi w:val="0"/>
              <w:spacing w:after="0"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根据以上评分要求提供的</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材料因模糊不清导致评标委员会无法清晰辨认进行评审的，视为无效材料。</w:t>
            </w:r>
          </w:p>
          <w:p>
            <w:pPr>
              <w:pStyle w:val="35"/>
              <w:keepNext w:val="0"/>
              <w:keepLines w:val="0"/>
              <w:pageBreakBefore w:val="0"/>
              <w:kinsoku/>
              <w:wordWrap/>
              <w:overflowPunct/>
              <w:topLinePunct w:val="0"/>
              <w:autoSpaceDE/>
              <w:autoSpaceDN/>
              <w:bidi w:val="0"/>
              <w:spacing w:line="240" w:lineRule="auto"/>
              <w:ind w:left="0" w:leftChars="0" w:firstLine="0" w:firstLineChars="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若因疫情原因暂缓统一托收或阶段性减免社会保险费而导致无法打印社保缴费证明的需提供书面说明并加盖</w:t>
            </w: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公章，否则不得分。</w:t>
            </w:r>
          </w:p>
        </w:tc>
      </w:tr>
    </w:tbl>
    <w:p>
      <w:pPr>
        <w:bidi w:val="0"/>
        <w:rPr>
          <w:rFonts w:hint="eastAsia"/>
          <w:color w:val="auto"/>
          <w:highlight w:val="none"/>
        </w:rPr>
      </w:pPr>
      <w:r>
        <w:rPr>
          <w:rFonts w:hint="eastAsia"/>
          <w:color w:val="auto"/>
          <w:highlight w:val="none"/>
        </w:rPr>
        <w:br w:type="page"/>
      </w:r>
    </w:p>
    <w:p>
      <w:pPr>
        <w:pStyle w:val="3"/>
        <w:spacing w:before="0" w:after="0" w:line="240" w:lineRule="auto"/>
        <w:rPr>
          <w:color w:val="auto"/>
          <w:sz w:val="24"/>
          <w:szCs w:val="24"/>
          <w:highlight w:val="none"/>
        </w:rPr>
      </w:pPr>
      <w:bookmarkStart w:id="18" w:name="_Toc24511"/>
      <w:bookmarkStart w:id="19" w:name="_Toc2479"/>
      <w:bookmarkStart w:id="20" w:name="_Toc29685"/>
      <w:bookmarkStart w:id="21" w:name="_Toc14146"/>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eastAsia="zh-CN"/>
        </w:rPr>
        <w:t>供应商</w:t>
      </w:r>
      <w:r>
        <w:rPr>
          <w:rFonts w:hint="eastAsia"/>
          <w:color w:val="auto"/>
          <w:sz w:val="28"/>
          <w:szCs w:val="28"/>
          <w:highlight w:val="none"/>
        </w:rPr>
        <w:t>须知</w:t>
      </w:r>
      <w:bookmarkEnd w:id="18"/>
      <w:bookmarkEnd w:id="19"/>
      <w:bookmarkEnd w:id="20"/>
    </w:p>
    <w:p>
      <w:pPr>
        <w:pStyle w:val="3"/>
        <w:keepNext w:val="0"/>
        <w:keepLines w:val="0"/>
        <w:spacing w:before="0" w:after="0" w:line="360" w:lineRule="auto"/>
        <w:jc w:val="center"/>
        <w:rPr>
          <w:rFonts w:ascii="宋体" w:hAnsi="宋体" w:eastAsia="宋体"/>
          <w:color w:val="auto"/>
          <w:sz w:val="24"/>
          <w:szCs w:val="21"/>
          <w:highlight w:val="none"/>
        </w:rPr>
      </w:pPr>
      <w:bookmarkStart w:id="22" w:name="_Toc102277756"/>
      <w:bookmarkStart w:id="23" w:name="_Toc6968687"/>
      <w:bookmarkStart w:id="24" w:name="_Toc24057"/>
      <w:bookmarkStart w:id="25" w:name="_Toc466786434"/>
      <w:bookmarkStart w:id="26" w:name="_Toc6882675"/>
      <w:bookmarkStart w:id="27" w:name="_Toc28014"/>
      <w:bookmarkStart w:id="28" w:name="_Toc507407359"/>
      <w:bookmarkStart w:id="29" w:name="_Toc458262599"/>
      <w:bookmarkStart w:id="30" w:name="_Toc467987807"/>
      <w:bookmarkStart w:id="31" w:name="_Toc468606013"/>
      <w:bookmarkStart w:id="32" w:name="_Toc467236724"/>
      <w:bookmarkStart w:id="33" w:name="_Toc468157520"/>
      <w:bookmarkStart w:id="34" w:name="_Toc480010692"/>
      <w:bookmarkStart w:id="35" w:name="_Toc480021037"/>
      <w:bookmarkStart w:id="36" w:name="_Toc479991566"/>
      <w:bookmarkStart w:id="37" w:name="_Toc48207756"/>
      <w:bookmarkStart w:id="38" w:name="_Toc480171863"/>
      <w:bookmarkStart w:id="39" w:name="_Toc480020241"/>
      <w:r>
        <w:rPr>
          <w:rFonts w:hint="eastAsia" w:ascii="宋体" w:hAnsi="宋体" w:eastAsia="宋体"/>
          <w:color w:val="auto"/>
          <w:sz w:val="24"/>
          <w:szCs w:val="21"/>
          <w:highlight w:val="none"/>
          <w:lang w:val="en-US" w:eastAsia="zh-CN"/>
        </w:rPr>
        <w:t>第一章</w:t>
      </w:r>
      <w:r>
        <w:rPr>
          <w:rFonts w:hint="eastAsia" w:ascii="宋体" w:hAnsi="宋体" w:eastAsia="宋体"/>
          <w:color w:val="auto"/>
          <w:sz w:val="24"/>
          <w:szCs w:val="21"/>
          <w:highlight w:val="none"/>
        </w:rPr>
        <w:t>说  明</w:t>
      </w:r>
      <w:bookmarkEnd w:id="22"/>
      <w:bookmarkEnd w:id="23"/>
      <w:bookmarkEnd w:id="24"/>
      <w:bookmarkEnd w:id="25"/>
      <w:bookmarkEnd w:id="26"/>
      <w:bookmarkEnd w:id="27"/>
      <w:bookmarkEnd w:id="28"/>
    </w:p>
    <w:p>
      <w:pPr>
        <w:pStyle w:val="4"/>
        <w:keepNext w:val="0"/>
        <w:keepLines w:val="0"/>
        <w:numPr>
          <w:ilvl w:val="0"/>
          <w:numId w:val="3"/>
        </w:numPr>
        <w:adjustRightInd/>
        <w:spacing w:before="0" w:after="0" w:line="360" w:lineRule="auto"/>
        <w:rPr>
          <w:rFonts w:hAnsi="宋体"/>
          <w:color w:val="auto"/>
          <w:sz w:val="21"/>
          <w:szCs w:val="21"/>
          <w:highlight w:val="none"/>
        </w:rPr>
      </w:pPr>
      <w:bookmarkStart w:id="40" w:name="_Toc17291"/>
      <w:bookmarkStart w:id="41" w:name="_Toc475249114"/>
      <w:bookmarkStart w:id="42" w:name="_Toc10228"/>
      <w:r>
        <w:rPr>
          <w:rFonts w:hint="eastAsia" w:hAnsi="宋体"/>
          <w:color w:val="auto"/>
          <w:sz w:val="21"/>
          <w:szCs w:val="21"/>
          <w:highlight w:val="none"/>
        </w:rPr>
        <w:t>适用范围</w:t>
      </w:r>
      <w:bookmarkEnd w:id="40"/>
      <w:bookmarkEnd w:id="41"/>
      <w:bookmarkEnd w:id="42"/>
    </w:p>
    <w:p>
      <w:pPr>
        <w:numPr>
          <w:ilvl w:val="1"/>
          <w:numId w:val="4"/>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本磋商文件仅适用于本次采购邀请中所叙述的项目。</w:t>
      </w:r>
    </w:p>
    <w:p>
      <w:pPr>
        <w:jc w:val="left"/>
        <w:rPr>
          <w:rFonts w:ascii="宋体" w:hAnsi="宋体" w:eastAsia="宋体" w:cs="宋体"/>
          <w:color w:val="auto"/>
          <w:sz w:val="21"/>
          <w:szCs w:val="21"/>
          <w:highlight w:val="none"/>
        </w:rPr>
      </w:pPr>
      <w:bookmarkStart w:id="43" w:name="_Toc475249115"/>
    </w:p>
    <w:p>
      <w:pPr>
        <w:pStyle w:val="4"/>
        <w:keepNext w:val="0"/>
        <w:keepLines w:val="0"/>
        <w:numPr>
          <w:ilvl w:val="0"/>
          <w:numId w:val="3"/>
        </w:numPr>
        <w:adjustRightInd/>
        <w:spacing w:before="0" w:after="0" w:line="360" w:lineRule="auto"/>
        <w:rPr>
          <w:rFonts w:hAnsi="宋体"/>
          <w:color w:val="auto"/>
          <w:sz w:val="21"/>
          <w:szCs w:val="21"/>
          <w:highlight w:val="none"/>
        </w:rPr>
      </w:pPr>
      <w:bookmarkStart w:id="44" w:name="_Toc8868"/>
      <w:bookmarkStart w:id="45" w:name="_Toc22176"/>
      <w:r>
        <w:rPr>
          <w:rFonts w:hint="eastAsia" w:hAnsi="宋体"/>
          <w:color w:val="auto"/>
          <w:sz w:val="21"/>
          <w:szCs w:val="21"/>
          <w:highlight w:val="none"/>
        </w:rPr>
        <w:t>定义</w:t>
      </w:r>
      <w:bookmarkEnd w:id="43"/>
      <w:bookmarkEnd w:id="44"/>
      <w:bookmarkEnd w:id="45"/>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“采购代理机构”是指广东政通招标有限公司。</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“供应商”指根据磋商文件要求进行文件领购并向采购代理机构提交响应文件参与本项目的法人。</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“法人”是依法在国内进行注册并具有民事权利能力和民事行为能力，依法独立享有民事权利和承担民事义务的组织。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“货物”是指</w:t>
      </w:r>
      <w:r>
        <w:rPr>
          <w:rFonts w:ascii="宋体" w:hAnsi="宋体" w:eastAsia="宋体"/>
          <w:color w:val="auto"/>
          <w:sz w:val="21"/>
          <w:szCs w:val="21"/>
          <w:highlight w:val="none"/>
        </w:rPr>
        <w:t>各种形态和种类的物品，包括原材料、燃料、设备、产品等</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“工程”是指建设工程，包括建筑物和构筑物的新建、改建、扩建及其相关的装修、拆除、修缮等。</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“语言”是指采购文件的语言为简体中文。</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“日期”是指公历日。</w:t>
      </w:r>
    </w:p>
    <w:p>
      <w:pPr>
        <w:numPr>
          <w:ilvl w:val="1"/>
          <w:numId w:val="5"/>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“时间”是指北京时间。</w:t>
      </w:r>
    </w:p>
    <w:p>
      <w:pPr>
        <w:rPr>
          <w:rFonts w:ascii="宋体" w:hAnsi="宋体" w:eastAsia="宋体" w:cs="宋体"/>
          <w:color w:val="auto"/>
          <w:sz w:val="21"/>
          <w:szCs w:val="21"/>
          <w:highlight w:val="none"/>
        </w:rPr>
      </w:pPr>
      <w:bookmarkStart w:id="46" w:name="_Toc110953831"/>
      <w:bookmarkStart w:id="47" w:name="_Toc6968688"/>
      <w:bookmarkStart w:id="48" w:name="_Toc6882676"/>
      <w:bookmarkStart w:id="49" w:name="_Toc507407360"/>
      <w:bookmarkStart w:id="50" w:name="_Toc466786435"/>
      <w:bookmarkStart w:id="51" w:name="_Toc102277757"/>
    </w:p>
    <w:p>
      <w:pPr>
        <w:pStyle w:val="4"/>
        <w:keepNext w:val="0"/>
        <w:keepLines w:val="0"/>
        <w:numPr>
          <w:ilvl w:val="0"/>
          <w:numId w:val="3"/>
        </w:numPr>
        <w:adjustRightInd/>
        <w:spacing w:before="0" w:after="0" w:line="360" w:lineRule="auto"/>
        <w:rPr>
          <w:rFonts w:hAnsi="宋体"/>
          <w:color w:val="auto"/>
          <w:sz w:val="21"/>
          <w:szCs w:val="21"/>
          <w:highlight w:val="none"/>
        </w:rPr>
      </w:pPr>
      <w:bookmarkStart w:id="52" w:name="_Toc31412"/>
      <w:bookmarkStart w:id="53" w:name="_Toc1083"/>
      <w:r>
        <w:rPr>
          <w:rFonts w:hint="eastAsia" w:hAnsi="宋体"/>
          <w:color w:val="auto"/>
          <w:sz w:val="21"/>
          <w:szCs w:val="21"/>
          <w:highlight w:val="none"/>
        </w:rPr>
        <w:t>适用法律</w:t>
      </w:r>
      <w:bookmarkEnd w:id="46"/>
      <w:bookmarkEnd w:id="52"/>
      <w:bookmarkEnd w:id="53"/>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highlight w:val="none"/>
        </w:rPr>
      </w:pPr>
      <w:bookmarkStart w:id="54" w:name="_Toc110953832"/>
    </w:p>
    <w:p>
      <w:pPr>
        <w:pStyle w:val="4"/>
        <w:keepNext w:val="0"/>
        <w:keepLines w:val="0"/>
        <w:numPr>
          <w:ilvl w:val="0"/>
          <w:numId w:val="3"/>
        </w:numPr>
        <w:adjustRightInd/>
        <w:spacing w:before="0" w:after="0" w:line="360" w:lineRule="auto"/>
        <w:rPr>
          <w:rFonts w:hAnsi="宋体"/>
          <w:color w:val="auto"/>
          <w:sz w:val="21"/>
          <w:szCs w:val="21"/>
          <w:highlight w:val="none"/>
        </w:rPr>
      </w:pPr>
      <w:bookmarkStart w:id="55" w:name="_Toc15452"/>
      <w:bookmarkStart w:id="56" w:name="_Toc18833"/>
      <w:r>
        <w:rPr>
          <w:rFonts w:hint="eastAsia" w:hAnsi="宋体"/>
          <w:color w:val="auto"/>
          <w:sz w:val="21"/>
          <w:szCs w:val="21"/>
          <w:highlight w:val="none"/>
        </w:rPr>
        <w:t>知识产权</w:t>
      </w:r>
      <w:bookmarkEnd w:id="54"/>
      <w:bookmarkEnd w:id="55"/>
      <w:bookmarkEnd w:id="56"/>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采购人享有本项目实施过程中产生的知识成果及知识产权。</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采购货物为计算机办公设备或含有计算机办公设备时，供应商提供的产品必须是预装正版操作系统软件的计算机产品。</w:t>
      </w:r>
    </w:p>
    <w:p>
      <w:pPr>
        <w:numPr>
          <w:ilvl w:val="1"/>
          <w:numId w:val="3"/>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供应商提供的服务、货物经认定存在侵权行为的，其响应文件无效，并上报相关监管部门。</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57" w:name="_Toc29484"/>
      <w:bookmarkStart w:id="58" w:name="_Toc5242"/>
      <w:bookmarkStart w:id="59" w:name="_Toc110953833"/>
      <w:r>
        <w:rPr>
          <w:rFonts w:hint="eastAsia" w:hAnsi="宋体"/>
          <w:color w:val="auto"/>
          <w:sz w:val="21"/>
          <w:szCs w:val="21"/>
          <w:highlight w:val="none"/>
        </w:rPr>
        <w:t>关于联合体报价</w:t>
      </w:r>
      <w:bookmarkEnd w:id="57"/>
      <w:bookmarkEnd w:id="58"/>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对接受联合体报价的项目：两个以上的自然人、法人或者其他组织可以组成一个联合体，以一个供应商的身份共同参加政府采购。</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以联合体形式参与项目的供应商在领购磋商文件时，应提供所有联合体组成成员的营业执照复印件，并加盖各联合体组成成员的公章。</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联合体各方均应当符合《政府采购法》第二十二条规定的条件。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采购人根据采购项目的特殊要求规定供应商特定条件的，联合体各方中至少应当有一方符合采购人规定的特定条件。</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供应商为联合体的，可以由联合体中的任意一方交纳保证金，其交纳的保证金对联合体各方均具有约束力。</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联合体中有同类资质的供应商按照联合体分工承担相同工作的，应当按照资质等级较低的联合体成员确定资质等级。</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除联合体协议明确授权盖章单位外，联合体报价时响应文件中所有要求盖章的地方均须加盖联合体所有组成成员的公章，否则该处盖章无效。</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bidi w:val="0"/>
        <w:rPr>
          <w:color w:val="auto"/>
          <w:highlight w:val="none"/>
        </w:rPr>
      </w:pPr>
    </w:p>
    <w:bookmarkEnd w:id="59"/>
    <w:p>
      <w:pPr>
        <w:pStyle w:val="4"/>
        <w:keepNext w:val="0"/>
        <w:keepLines w:val="0"/>
        <w:numPr>
          <w:ilvl w:val="0"/>
          <w:numId w:val="3"/>
        </w:numPr>
        <w:adjustRightInd/>
        <w:spacing w:before="0" w:after="0" w:line="360" w:lineRule="auto"/>
        <w:rPr>
          <w:rFonts w:hAnsi="宋体"/>
          <w:color w:val="auto"/>
          <w:sz w:val="21"/>
          <w:szCs w:val="21"/>
          <w:highlight w:val="none"/>
        </w:rPr>
      </w:pPr>
      <w:bookmarkStart w:id="60" w:name="_Toc25157"/>
      <w:bookmarkStart w:id="61" w:name="_Toc2836"/>
      <w:r>
        <w:rPr>
          <w:rFonts w:hint="eastAsia" w:hAnsi="宋体"/>
          <w:color w:val="auto"/>
          <w:sz w:val="21"/>
          <w:szCs w:val="21"/>
          <w:highlight w:val="none"/>
        </w:rPr>
        <w:t>关于分支机构报价</w:t>
      </w:r>
      <w:bookmarkEnd w:id="60"/>
      <w:bookmarkEnd w:id="61"/>
    </w:p>
    <w:p>
      <w:pPr>
        <w:numPr>
          <w:ilvl w:val="1"/>
          <w:numId w:val="3"/>
        </w:numPr>
        <w:spacing w:line="360" w:lineRule="auto"/>
        <w:rPr>
          <w:rFonts w:ascii="宋体" w:hAnsi="宋体" w:eastAsia="宋体" w:cs="宋体"/>
          <w:color w:val="auto"/>
          <w:sz w:val="21"/>
          <w:szCs w:val="21"/>
          <w:highlight w:val="none"/>
        </w:rPr>
      </w:pPr>
      <w:bookmarkStart w:id="62" w:name="_Toc98126220"/>
      <w:bookmarkStart w:id="63" w:name="_Toc98126295"/>
      <w:r>
        <w:rPr>
          <w:rFonts w:hint="eastAsia" w:ascii="宋体" w:hAnsi="宋体" w:eastAsia="宋体" w:cs="宋体"/>
          <w:color w:val="auto"/>
          <w:sz w:val="21"/>
          <w:szCs w:val="21"/>
          <w:highlight w:val="none"/>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62"/>
      <w:bookmarkEnd w:id="63"/>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64" w:name="_Toc16198"/>
      <w:bookmarkStart w:id="65" w:name="_Toc18108"/>
      <w:bookmarkStart w:id="66" w:name="_Toc110953834"/>
      <w:r>
        <w:rPr>
          <w:rFonts w:hint="eastAsia" w:hAnsi="宋体"/>
          <w:color w:val="auto"/>
          <w:sz w:val="21"/>
          <w:szCs w:val="21"/>
          <w:highlight w:val="none"/>
        </w:rPr>
        <w:t>保密及其它注意事项</w:t>
      </w:r>
      <w:bookmarkEnd w:id="64"/>
      <w:bookmarkEnd w:id="65"/>
      <w:bookmarkEnd w:id="66"/>
    </w:p>
    <w:p>
      <w:pPr>
        <w:numPr>
          <w:ilvl w:val="1"/>
          <w:numId w:val="3"/>
        </w:numPr>
        <w:spacing w:line="360" w:lineRule="auto"/>
        <w:rPr>
          <w:rFonts w:ascii="宋体" w:hAnsi="宋体" w:eastAsia="宋体" w:cs="宋体"/>
          <w:color w:val="auto"/>
          <w:sz w:val="21"/>
          <w:szCs w:val="21"/>
          <w:highlight w:val="none"/>
        </w:rPr>
      </w:pPr>
      <w:bookmarkStart w:id="67" w:name="_Toc98126297"/>
      <w:bookmarkStart w:id="68" w:name="_Toc98126222"/>
      <w:r>
        <w:rPr>
          <w:rFonts w:hint="eastAsia" w:ascii="宋体" w:hAnsi="宋体" w:eastAsia="宋体" w:cs="宋体"/>
          <w:color w:val="auto"/>
          <w:sz w:val="21"/>
          <w:szCs w:val="21"/>
          <w:highlight w:val="none"/>
        </w:rPr>
        <w:t>凡参与采购工作的有关人员均应自觉接受有关主管部门的监督，不得向他人透露可能影响公平竞争的有关情况。</w:t>
      </w:r>
      <w:bookmarkEnd w:id="67"/>
      <w:bookmarkEnd w:id="68"/>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在评审期间，供应商不得向磋商小组成员询问评审情况，不得进行旨在影响评审结果的活动。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69" w:name="_Toc23588"/>
      <w:bookmarkStart w:id="70" w:name="_Toc25468"/>
      <w:r>
        <w:rPr>
          <w:rFonts w:hint="eastAsia" w:ascii="宋体" w:hAnsi="宋体" w:eastAsia="宋体"/>
          <w:color w:val="auto"/>
          <w:sz w:val="24"/>
          <w:szCs w:val="21"/>
          <w:highlight w:val="none"/>
          <w:lang w:val="en-US" w:eastAsia="zh-CN"/>
        </w:rPr>
        <w:t>第二章</w:t>
      </w:r>
      <w:r>
        <w:rPr>
          <w:rFonts w:hint="eastAsia" w:ascii="宋体" w:hAnsi="宋体" w:eastAsia="宋体"/>
          <w:color w:val="auto"/>
          <w:sz w:val="24"/>
          <w:szCs w:val="21"/>
          <w:highlight w:val="none"/>
        </w:rPr>
        <w:t>磋商文件说明</w:t>
      </w:r>
      <w:bookmarkEnd w:id="47"/>
      <w:bookmarkEnd w:id="48"/>
      <w:bookmarkEnd w:id="49"/>
      <w:bookmarkEnd w:id="50"/>
      <w:bookmarkEnd w:id="51"/>
      <w:bookmarkEnd w:id="69"/>
      <w:bookmarkEnd w:id="70"/>
    </w:p>
    <w:p>
      <w:pPr>
        <w:pStyle w:val="4"/>
        <w:keepNext w:val="0"/>
        <w:keepLines w:val="0"/>
        <w:numPr>
          <w:ilvl w:val="0"/>
          <w:numId w:val="3"/>
        </w:numPr>
        <w:adjustRightInd/>
        <w:spacing w:before="0" w:after="0" w:line="360" w:lineRule="auto"/>
        <w:rPr>
          <w:rFonts w:hAnsi="宋体"/>
          <w:color w:val="auto"/>
          <w:sz w:val="21"/>
          <w:szCs w:val="21"/>
          <w:highlight w:val="none"/>
        </w:rPr>
      </w:pPr>
      <w:bookmarkStart w:id="71" w:name="_Toc21439"/>
      <w:bookmarkStart w:id="72" w:name="_Toc110953836"/>
      <w:bookmarkStart w:id="73" w:name="_Toc4511"/>
      <w:bookmarkStart w:id="74" w:name="_Toc507407361"/>
      <w:bookmarkStart w:id="75" w:name="_Toc6882677"/>
      <w:bookmarkStart w:id="76" w:name="_Toc6968689"/>
      <w:bookmarkStart w:id="77" w:name="_Toc466786436"/>
      <w:bookmarkStart w:id="78" w:name="_Toc102277758"/>
      <w:r>
        <w:rPr>
          <w:rFonts w:hint="eastAsia" w:hAnsi="宋体"/>
          <w:color w:val="auto"/>
          <w:sz w:val="21"/>
          <w:szCs w:val="21"/>
          <w:highlight w:val="none"/>
        </w:rPr>
        <w:t>采购文件构成</w:t>
      </w:r>
      <w:bookmarkEnd w:id="71"/>
      <w:bookmarkEnd w:id="72"/>
      <w:bookmarkEnd w:id="73"/>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采购文件由下列文件以及在采购过程中发出的澄清更正文件组成：</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磋商邀请函；</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磋商资料表；</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合同书格式；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p>
      <w:pPr>
        <w:pStyle w:val="7"/>
        <w:keepNext w:val="0"/>
        <w:keepLines w:val="0"/>
        <w:pageBreakBefore w:val="0"/>
        <w:widowControl/>
        <w:numPr>
          <w:ilvl w:val="0"/>
          <w:numId w:val="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在采购过程中由集中采购机构发出的澄清更正文件等。</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采购文件的澄清更正：</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采购期间，供应商有义务上网查看，公告一经上网发布，即视为送达。因供应商未及时上网查看而造成的所有后果，由供应商自行承担。</w:t>
      </w:r>
    </w:p>
    <w:p>
      <w:pPr>
        <w:numPr>
          <w:ilvl w:val="0"/>
          <w:numId w:val="7"/>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根据采购的具体情况，采购代理机构可延长响应文件递交截止时间和磋商时间，并将变更时间在指定媒体上发布公告及通知所有报名及购买采购文件的供应商。</w:t>
      </w:r>
    </w:p>
    <w:p>
      <w:pPr>
        <w:pStyle w:val="7"/>
        <w:rPr>
          <w:rFonts w:ascii="宋体" w:hAnsi="宋体" w:eastAsia="宋体" w:cs="宋体"/>
          <w:color w:val="auto"/>
          <w:sz w:val="21"/>
          <w:szCs w:val="21"/>
          <w:highlight w:val="none"/>
        </w:rPr>
      </w:pPr>
    </w:p>
    <w:bookmarkEnd w:id="74"/>
    <w:bookmarkEnd w:id="75"/>
    <w:bookmarkEnd w:id="76"/>
    <w:bookmarkEnd w:id="77"/>
    <w:bookmarkEnd w:id="78"/>
    <w:p>
      <w:pPr>
        <w:pStyle w:val="3"/>
        <w:keepNext w:val="0"/>
        <w:keepLines w:val="0"/>
        <w:spacing w:before="0" w:after="0" w:line="360" w:lineRule="auto"/>
        <w:jc w:val="center"/>
        <w:rPr>
          <w:rFonts w:ascii="宋体" w:hAnsi="宋体" w:eastAsia="宋体"/>
          <w:color w:val="auto"/>
          <w:sz w:val="24"/>
          <w:szCs w:val="21"/>
          <w:highlight w:val="none"/>
        </w:rPr>
      </w:pPr>
      <w:bookmarkStart w:id="79" w:name="_Toc110953838"/>
      <w:bookmarkStart w:id="80" w:name="_Toc25500"/>
      <w:bookmarkStart w:id="81" w:name="_Toc158"/>
      <w:bookmarkStart w:id="82" w:name="_Toc6968690"/>
      <w:bookmarkStart w:id="83" w:name="_Toc6882678"/>
      <w:bookmarkStart w:id="84" w:name="_Toc507407362"/>
      <w:bookmarkStart w:id="85" w:name="_Toc102277759"/>
      <w:bookmarkStart w:id="86" w:name="_Toc466786437"/>
      <w:r>
        <w:rPr>
          <w:rFonts w:hint="eastAsia" w:ascii="宋体" w:hAnsi="宋体" w:eastAsia="宋体"/>
          <w:color w:val="auto"/>
          <w:sz w:val="24"/>
          <w:szCs w:val="21"/>
          <w:highlight w:val="none"/>
          <w:lang w:val="en-US" w:eastAsia="zh-CN"/>
        </w:rPr>
        <w:t>第三章</w:t>
      </w:r>
      <w:r>
        <w:rPr>
          <w:rFonts w:hint="eastAsia" w:ascii="宋体" w:hAnsi="宋体" w:eastAsia="宋体"/>
          <w:color w:val="auto"/>
          <w:sz w:val="24"/>
          <w:szCs w:val="21"/>
          <w:highlight w:val="none"/>
        </w:rPr>
        <w:t>响应文件的</w:t>
      </w:r>
      <w:bookmarkEnd w:id="79"/>
      <w:r>
        <w:rPr>
          <w:rFonts w:hint="eastAsia" w:ascii="宋体" w:hAnsi="宋体" w:eastAsia="宋体"/>
          <w:color w:val="auto"/>
          <w:sz w:val="24"/>
          <w:szCs w:val="21"/>
          <w:highlight w:val="none"/>
        </w:rPr>
        <w:t>编制</w:t>
      </w:r>
      <w:bookmarkEnd w:id="80"/>
      <w:bookmarkEnd w:id="81"/>
    </w:p>
    <w:p>
      <w:pPr>
        <w:pStyle w:val="4"/>
        <w:keepNext w:val="0"/>
        <w:keepLines w:val="0"/>
        <w:numPr>
          <w:ilvl w:val="0"/>
          <w:numId w:val="3"/>
        </w:numPr>
        <w:adjustRightInd/>
        <w:spacing w:before="0" w:after="0" w:line="360" w:lineRule="auto"/>
        <w:rPr>
          <w:rFonts w:hAnsi="宋体"/>
          <w:color w:val="auto"/>
          <w:sz w:val="21"/>
          <w:szCs w:val="21"/>
          <w:highlight w:val="none"/>
        </w:rPr>
      </w:pPr>
      <w:bookmarkStart w:id="87" w:name="_Toc19833"/>
      <w:bookmarkStart w:id="88" w:name="_Toc4681"/>
      <w:bookmarkStart w:id="89" w:name="_Toc110953839"/>
      <w:r>
        <w:rPr>
          <w:rFonts w:hint="eastAsia" w:hAnsi="宋体"/>
          <w:color w:val="auto"/>
          <w:sz w:val="21"/>
          <w:szCs w:val="21"/>
          <w:highlight w:val="none"/>
        </w:rPr>
        <w:t>响应文件的语言及度量衡单位</w:t>
      </w:r>
      <w:bookmarkEnd w:id="87"/>
      <w:bookmarkEnd w:id="88"/>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highlight w:val="none"/>
        </w:rPr>
        <w:t>（中文译本应由翻译机构盖章或者翻译人员签名确认，否则按无效处理）</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除非采购文件在技术规格中另有规定，供应商在采购文件中及其与采购代理机构和采购人所有往来文件中的所有计量单位均应采用中华人民共和国法定计量单位。</w:t>
      </w:r>
    </w:p>
    <w:p>
      <w:pPr>
        <w:bidi w:val="0"/>
        <w:rPr>
          <w:color w:val="auto"/>
          <w:highlight w:val="none"/>
        </w:rPr>
      </w:pPr>
    </w:p>
    <w:bookmarkEnd w:id="89"/>
    <w:p>
      <w:pPr>
        <w:pStyle w:val="4"/>
        <w:keepNext w:val="0"/>
        <w:keepLines w:val="0"/>
        <w:numPr>
          <w:ilvl w:val="0"/>
          <w:numId w:val="3"/>
        </w:numPr>
        <w:adjustRightInd/>
        <w:spacing w:before="0" w:after="0" w:line="360" w:lineRule="auto"/>
        <w:rPr>
          <w:rFonts w:hAnsi="宋体"/>
          <w:color w:val="auto"/>
          <w:sz w:val="21"/>
          <w:szCs w:val="21"/>
          <w:highlight w:val="none"/>
        </w:rPr>
      </w:pPr>
      <w:bookmarkStart w:id="90" w:name="_Toc18228"/>
      <w:bookmarkStart w:id="91" w:name="_Toc25730"/>
      <w:r>
        <w:rPr>
          <w:rFonts w:hint="eastAsia" w:hAnsi="宋体"/>
          <w:color w:val="auto"/>
          <w:sz w:val="21"/>
          <w:szCs w:val="21"/>
          <w:highlight w:val="none"/>
        </w:rPr>
        <w:t>响应文件编制</w:t>
      </w:r>
      <w:bookmarkEnd w:id="90"/>
      <w:bookmarkEnd w:id="91"/>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供应商必须对响应文件所提供的全部资料的真实性承担法律责任，并无条件接受采购人或采购代理机构及政府采购监督管理部门等对其中任何资料进行核实的要求。</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如果因为供应商响应文件填报的内容不详，或没有提供采购文件中所要求的全部资料及数据，由此造成的后果，其责任由供应商承担。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供应商应按响应文件的</w:t>
      </w:r>
      <w:r>
        <w:rPr>
          <w:rFonts w:hint="eastAsia" w:ascii="宋体" w:hAnsi="宋体" w:eastAsia="宋体"/>
          <w:color w:val="auto"/>
          <w:sz w:val="21"/>
          <w:szCs w:val="21"/>
          <w:highlight w:val="none"/>
        </w:rPr>
        <w:t>用户需求中的要求进行一次报价</w:t>
      </w:r>
      <w:r>
        <w:rPr>
          <w:rFonts w:hint="eastAsia" w:ascii="宋体" w:hAnsi="宋体" w:eastAsia="宋体"/>
          <w:bCs/>
          <w:color w:val="auto"/>
          <w:sz w:val="21"/>
          <w:szCs w:val="21"/>
          <w:highlight w:val="none"/>
        </w:rPr>
        <w:t>；</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供应商所提供的货物和服务均应以人民币</w:t>
      </w:r>
      <w:r>
        <w:rPr>
          <w:rFonts w:hint="eastAsia" w:ascii="宋体" w:hAnsi="宋体" w:eastAsia="宋体"/>
          <w:color w:val="auto"/>
          <w:sz w:val="21"/>
          <w:szCs w:val="21"/>
          <w:highlight w:val="none"/>
        </w:rPr>
        <w:t>（或相关费率）</w:t>
      </w:r>
      <w:r>
        <w:rPr>
          <w:rFonts w:hint="eastAsia" w:ascii="宋体" w:hAnsi="宋体" w:eastAsia="宋体"/>
          <w:bCs/>
          <w:color w:val="auto"/>
          <w:sz w:val="21"/>
          <w:szCs w:val="21"/>
          <w:highlight w:val="none"/>
        </w:rPr>
        <w:t>报价（具体报价要求详见用户需求）；</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报价应包含完成本次采购所有服务内容的费用，包含各种税务费及合同实施过程中的全部费用；</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经磋商后，供应商所报的最后磋商报价在合同执行过程中是固定不变的，不得以任何理由予以变更；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供应商只能就单个项目提供唯一的方案和报价，不接受选择性的方案和报价，方案或报价不是唯一的响应文件作无效处理；</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最终报价文件为供应商响应文件组成的一部分，其报价有效期应与响应文件有效期保持一致；</w:t>
      </w:r>
    </w:p>
    <w:p>
      <w:pPr>
        <w:numPr>
          <w:ilvl w:val="0"/>
          <w:numId w:val="8"/>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bCs/>
          <w:color w:val="auto"/>
          <w:sz w:val="21"/>
          <w:szCs w:val="21"/>
          <w:highlight w:val="none"/>
        </w:rPr>
        <w:t>供应商名称与供应商公章不一致，若供应商名称已进行变更，应在响应文件中提供相应的证明材料并加盖公章，否则响应文件无效。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响应文件密封、标记及内容与本项目采购信息不符，导致无法分辨所参与项目为本项目的，响应文件无效。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响应文件的签署：未按采购文件要求或未按响应文件所要求格式对响应文件进行签署授权的，其报价无效。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电报、电话、传真、电子邮件形式的响应文件概不接受。</w:t>
      </w:r>
    </w:p>
    <w:p>
      <w:pPr>
        <w:spacing w:line="360" w:lineRule="auto"/>
        <w:rPr>
          <w:rFonts w:ascii="宋体" w:hAnsi="宋体" w:eastAsia="宋体"/>
          <w:bCs/>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2" w:name="_Toc110953840"/>
      <w:bookmarkStart w:id="93" w:name="_Toc26897"/>
      <w:bookmarkStart w:id="94" w:name="_Toc11910"/>
      <w:r>
        <w:rPr>
          <w:rFonts w:hint="eastAsia" w:hAnsi="宋体"/>
          <w:color w:val="auto"/>
          <w:sz w:val="21"/>
          <w:szCs w:val="21"/>
          <w:highlight w:val="none"/>
        </w:rPr>
        <w:t>响应文件的内容</w:t>
      </w:r>
      <w:bookmarkEnd w:id="92"/>
      <w:bookmarkEnd w:id="93"/>
      <w:bookmarkEnd w:id="94"/>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证明供应商合格和资格的文件。</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响应文件格式中要求必须提供的表格。</w:t>
      </w:r>
    </w:p>
    <w:p>
      <w:pPr>
        <w:spacing w:line="360" w:lineRule="auto"/>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5" w:name="_Toc15387"/>
      <w:bookmarkStart w:id="96" w:name="_Toc110953841"/>
      <w:bookmarkStart w:id="97" w:name="_Toc1662"/>
      <w:r>
        <w:rPr>
          <w:rFonts w:hint="eastAsia" w:hAnsi="宋体"/>
          <w:color w:val="auto"/>
          <w:sz w:val="21"/>
          <w:szCs w:val="21"/>
          <w:highlight w:val="none"/>
        </w:rPr>
        <w:t>响应文件格式</w:t>
      </w:r>
      <w:bookmarkEnd w:id="95"/>
      <w:bookmarkEnd w:id="96"/>
      <w:bookmarkEnd w:id="97"/>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98" w:name="_Toc1898"/>
      <w:bookmarkStart w:id="99" w:name="_Toc21656"/>
      <w:r>
        <w:rPr>
          <w:rFonts w:hint="eastAsia" w:hAnsi="宋体"/>
          <w:color w:val="auto"/>
          <w:sz w:val="21"/>
          <w:szCs w:val="21"/>
          <w:highlight w:val="none"/>
        </w:rPr>
        <w:t>★磋商保证金</w:t>
      </w:r>
      <w:bookmarkEnd w:id="98"/>
      <w:bookmarkEnd w:id="99"/>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磋商保证金金额与采购文件要求金额保持一致（详见磋商资料表）。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供应商应按磋商资料表中规定数额及法律规定的时间按相应包号保证金金额要求一次性提交磋商保证金，以多次汇入达到采购文件要求金额的磋商保证金无效。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磋商保证金有效期与响应文件有效期保持一致。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缴纳磋商保证金的供应商与参与本项目的供应商名称必须一致，非参与本项目的供应商缴纳的磋商保证金无效。</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采用银行转账、电汇方式提交的,付至采购代理机构指定账户上。 (详见磋商资料表)</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采用担保函提交的，应符合下列规定：</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担保函有效期应与响应文件有效期一致；</w:t>
      </w:r>
    </w:p>
    <w:p>
      <w:pPr>
        <w:pStyle w:val="7"/>
        <w:keepNext w:val="0"/>
        <w:keepLines w:val="0"/>
        <w:pageBreakBefore w:val="0"/>
        <w:widowControl/>
        <w:numPr>
          <w:ilvl w:val="0"/>
          <w:numId w:val="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担保金额应与本项目的磋商保证金一致；</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保证金不接受现金方式（包括以存现方式）提交，未按要求提交磋商保证金的供应商其响应文件作无效处理。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未成交的供应商保证金在采购结果公示发出后5个工作日内退还，成交供应商的保证金在采购合同签订后5个工作日内退还。</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为方便退还未成交的供应商保证金，供应商应制作《磋商保证金汇入情况说明》随响应文件一并递交。</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有下列情形之一的，磋商保证金不予退还：</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供应商在提交响应文件截止时间后撤回响应文件的；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供应商在响应文件中提供虚假材料的；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除因不可抗力或磋商文件（本文件）、询价通知书（本文件）认可的情形以外，成交供应商不与采购人签订合同的；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供应商与采购人、其他供应商或者采购代理机构恶意串通的；</w:t>
      </w:r>
    </w:p>
    <w:p>
      <w:pPr>
        <w:pStyle w:val="7"/>
        <w:keepNext w:val="0"/>
        <w:keepLines w:val="0"/>
        <w:pageBreakBefore w:val="0"/>
        <w:widowControl/>
        <w:numPr>
          <w:ilvl w:val="0"/>
          <w:numId w:val="10"/>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采购文件规定的其他情形。</w:t>
      </w:r>
    </w:p>
    <w:p>
      <w:pPr>
        <w:spacing w:line="480" w:lineRule="exact"/>
        <w:ind w:firstLine="480" w:firstLineChars="200"/>
        <w:rPr>
          <w:rFonts w:ascii="宋体" w:hAnsi="宋体" w:eastAsia="宋体"/>
          <w:color w:val="auto"/>
          <w:sz w:val="24"/>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00" w:name="_Toc25734"/>
      <w:bookmarkStart w:id="101" w:name="_Toc503758471"/>
      <w:bookmarkStart w:id="102" w:name="_Toc467987824"/>
      <w:bookmarkStart w:id="103" w:name="_Toc480010709"/>
      <w:bookmarkStart w:id="104" w:name="_Toc110953842"/>
      <w:bookmarkStart w:id="105" w:name="_Toc10456"/>
      <w:bookmarkStart w:id="106" w:name="_Toc467236741"/>
      <w:bookmarkStart w:id="107" w:name="_Toc468157537"/>
      <w:bookmarkStart w:id="108" w:name="_Toc480021054"/>
      <w:bookmarkStart w:id="109" w:name="_Toc480171880"/>
      <w:bookmarkStart w:id="110" w:name="_Toc454701382"/>
      <w:bookmarkStart w:id="111" w:name="_Toc480020258"/>
      <w:bookmarkStart w:id="112" w:name="_Toc468606030"/>
      <w:bookmarkStart w:id="113" w:name="_Toc458262615"/>
      <w:bookmarkStart w:id="114" w:name="_Toc479991583"/>
      <w:r>
        <w:rPr>
          <w:rFonts w:hint="eastAsia" w:hAnsi="宋体"/>
          <w:color w:val="auto"/>
          <w:sz w:val="21"/>
          <w:szCs w:val="21"/>
          <w:highlight w:val="none"/>
        </w:rPr>
        <w:t>★报价（响应文件）有效期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响应文件从开启响应文件之日起，报价（响应文件）有效期为</w:t>
      </w:r>
      <w:r>
        <w:rPr>
          <w:rFonts w:hint="eastAsia" w:ascii="宋体" w:hAnsi="宋体" w:eastAsia="宋体"/>
          <w:bCs/>
          <w:color w:val="auto"/>
          <w:sz w:val="21"/>
          <w:szCs w:val="21"/>
          <w:highlight w:val="none"/>
          <w:lang w:eastAsia="zh-CN"/>
        </w:rPr>
        <w:t>90个日历日</w:t>
      </w:r>
      <w:r>
        <w:rPr>
          <w:rFonts w:hint="eastAsia" w:ascii="宋体" w:hAnsi="宋体" w:eastAsia="宋体"/>
          <w:bCs/>
          <w:color w:val="auto"/>
          <w:sz w:val="21"/>
          <w:szCs w:val="21"/>
          <w:highlight w:val="none"/>
        </w:rPr>
        <w:t>。</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特殊情况下，采购代理机构可于响应有效期期满之前，要求供应商同意延长响应有效期，要求与答复均应为书面形式。对于同意该要求的供应商，既不要求也不允许其修改响应文件。</w:t>
      </w:r>
    </w:p>
    <w:p>
      <w:pPr>
        <w:pStyle w:val="7"/>
        <w:rPr>
          <w:rFonts w:ascii="宋体" w:hAnsi="宋体" w:eastAsia="宋体" w:cs="宋体"/>
          <w:color w:val="auto"/>
          <w:sz w:val="21"/>
          <w:szCs w:val="21"/>
          <w:highlight w:val="none"/>
        </w:rPr>
      </w:pPr>
    </w:p>
    <w:bookmarkEnd w:id="82"/>
    <w:bookmarkEnd w:id="83"/>
    <w:bookmarkEnd w:id="84"/>
    <w:bookmarkEnd w:id="85"/>
    <w:bookmarkEnd w:id="86"/>
    <w:p>
      <w:pPr>
        <w:pStyle w:val="3"/>
        <w:keepNext w:val="0"/>
        <w:keepLines w:val="0"/>
        <w:spacing w:before="0" w:after="0" w:line="360" w:lineRule="auto"/>
        <w:jc w:val="center"/>
        <w:rPr>
          <w:rFonts w:ascii="宋体" w:hAnsi="宋体" w:eastAsia="宋体"/>
          <w:color w:val="auto"/>
          <w:sz w:val="24"/>
          <w:szCs w:val="21"/>
          <w:highlight w:val="none"/>
        </w:rPr>
      </w:pPr>
      <w:bookmarkStart w:id="115" w:name="_Toc110953843"/>
      <w:bookmarkStart w:id="116" w:name="_Toc32392"/>
      <w:bookmarkStart w:id="117" w:name="_Toc7006"/>
      <w:bookmarkStart w:id="118" w:name="_Toc102277760"/>
      <w:bookmarkStart w:id="119" w:name="_Toc6968691"/>
      <w:bookmarkStart w:id="120" w:name="_Toc6882679"/>
      <w:bookmarkStart w:id="121" w:name="_Toc466786438"/>
      <w:bookmarkStart w:id="122" w:name="_Toc507407363"/>
      <w:r>
        <w:rPr>
          <w:rFonts w:hint="eastAsia" w:ascii="宋体" w:hAnsi="宋体" w:eastAsia="宋体"/>
          <w:color w:val="auto"/>
          <w:sz w:val="24"/>
          <w:szCs w:val="21"/>
          <w:highlight w:val="none"/>
          <w:lang w:val="en-US" w:eastAsia="zh-CN"/>
        </w:rPr>
        <w:t>第四章</w:t>
      </w:r>
      <w:r>
        <w:rPr>
          <w:rFonts w:hint="eastAsia" w:ascii="宋体" w:hAnsi="宋体" w:eastAsia="宋体"/>
          <w:color w:val="auto"/>
          <w:sz w:val="24"/>
          <w:szCs w:val="21"/>
          <w:highlight w:val="none"/>
        </w:rPr>
        <w:t>响应文件的递交</w:t>
      </w:r>
      <w:bookmarkEnd w:id="115"/>
      <w:bookmarkEnd w:id="116"/>
      <w:bookmarkEnd w:id="117"/>
    </w:p>
    <w:p>
      <w:pPr>
        <w:pStyle w:val="4"/>
        <w:keepNext w:val="0"/>
        <w:keepLines w:val="0"/>
        <w:numPr>
          <w:ilvl w:val="0"/>
          <w:numId w:val="3"/>
        </w:numPr>
        <w:adjustRightInd/>
        <w:spacing w:before="0" w:after="0" w:line="360" w:lineRule="auto"/>
        <w:rPr>
          <w:rFonts w:hAnsi="宋体"/>
          <w:color w:val="auto"/>
          <w:sz w:val="21"/>
          <w:szCs w:val="21"/>
          <w:highlight w:val="none"/>
        </w:rPr>
      </w:pPr>
      <w:bookmarkStart w:id="123" w:name="_Toc4400"/>
      <w:bookmarkStart w:id="124" w:name="_Toc110953844"/>
      <w:bookmarkStart w:id="125" w:name="_Toc13611"/>
      <w:r>
        <w:rPr>
          <w:rFonts w:hint="eastAsia" w:hAnsi="宋体"/>
          <w:color w:val="auto"/>
          <w:sz w:val="21"/>
          <w:szCs w:val="21"/>
          <w:highlight w:val="none"/>
        </w:rPr>
        <w:t>响应文件的密封和标记</w:t>
      </w:r>
      <w:bookmarkEnd w:id="123"/>
      <w:bookmarkEnd w:id="124"/>
      <w:bookmarkEnd w:id="125"/>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供应商应当对响应文件进行装订，价格文件、商务文件、技术文件可</w:t>
      </w:r>
      <w:r>
        <w:rPr>
          <w:rFonts w:hint="eastAsia" w:ascii="宋体" w:hAnsi="宋体" w:eastAsia="宋体"/>
          <w:bCs/>
          <w:color w:val="auto"/>
          <w:sz w:val="21"/>
          <w:szCs w:val="21"/>
          <w:highlight w:val="none"/>
          <w:lang w:val="en-US" w:eastAsia="zh-CN"/>
        </w:rPr>
        <w:t>合装订</w:t>
      </w:r>
      <w:r>
        <w:rPr>
          <w:rFonts w:hint="eastAsia" w:ascii="宋体" w:hAnsi="宋体" w:eastAsia="宋体"/>
          <w:bCs/>
          <w:color w:val="auto"/>
          <w:sz w:val="21"/>
          <w:szCs w:val="21"/>
          <w:highlight w:val="none"/>
        </w:rPr>
        <w:t>为一册，也可根据自身需要分册</w:t>
      </w:r>
      <w:r>
        <w:rPr>
          <w:rFonts w:hint="eastAsia" w:ascii="宋体" w:hAnsi="宋体" w:eastAsia="宋体"/>
          <w:bCs/>
          <w:color w:val="auto"/>
          <w:sz w:val="21"/>
          <w:szCs w:val="21"/>
          <w:highlight w:val="none"/>
          <w:lang w:val="en-US" w:eastAsia="zh-CN"/>
        </w:rPr>
        <w:t>装订，</w:t>
      </w:r>
      <w:r>
        <w:rPr>
          <w:rFonts w:hint="eastAsia" w:ascii="宋体" w:hAnsi="宋体" w:eastAsia="宋体"/>
          <w:bCs/>
          <w:color w:val="auto"/>
          <w:sz w:val="21"/>
          <w:szCs w:val="21"/>
          <w:highlight w:val="none"/>
        </w:rPr>
        <w:t>对未经装订的响应文件可能发生的文件散落或缺损，由此产生的后果由供应商承担。</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联合体响应文件的【正本】及【副本】的封面及骑缝均须加盖所有联合体组成成员的公章。（文件每页盖章等同于盖骑缝章）</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供应商可将响应文件正本和所有的副本分开密封装在单独的信封中，且在信封上标明“正本”“副本”字样。然后再将所有信封封装在一个外层信封中。</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电子文件内容包括：由供应商自行制作的与正本文件一致的所有文件。</w:t>
      </w:r>
      <w:r>
        <w:rPr>
          <w:rFonts w:ascii="宋体" w:hAnsi="宋体" w:eastAsia="宋体"/>
          <w:color w:val="auto"/>
          <w:sz w:val="21"/>
          <w:szCs w:val="21"/>
          <w:highlight w:val="none"/>
        </w:rPr>
        <w:t>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，与正本密封包装，随正本提交。</w:t>
      </w:r>
      <w:r>
        <w:rPr>
          <w:rFonts w:hint="eastAsia" w:ascii="宋体" w:hAnsi="宋体" w:eastAsia="宋体"/>
          <w:bCs/>
          <w:color w:val="auto"/>
          <w:sz w:val="21"/>
          <w:szCs w:val="21"/>
          <w:highlight w:val="none"/>
        </w:rPr>
        <w:t>电报、电话、传真、电子邮件形式的电子响应文件概不接受。</w:t>
      </w:r>
    </w:p>
    <w:p>
      <w:pPr>
        <w:numPr>
          <w:ilvl w:val="1"/>
          <w:numId w:val="3"/>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所有的信封均应注明：</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26" w:name="_Toc6425"/>
      <w:bookmarkStart w:id="127" w:name="_Toc5658"/>
      <w:bookmarkStart w:id="128" w:name="_Toc110953845"/>
      <w:r>
        <w:rPr>
          <w:rFonts w:hint="eastAsia" w:hAnsi="宋体"/>
          <w:color w:val="auto"/>
          <w:sz w:val="21"/>
          <w:szCs w:val="21"/>
          <w:highlight w:val="none"/>
        </w:rPr>
        <w:t>响应文件的递交</w:t>
      </w:r>
      <w:bookmarkEnd w:id="126"/>
      <w:bookmarkEnd w:id="127"/>
      <w:bookmarkEnd w:id="12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所有经密封的响应文件及单独密封的报价文件都必须在响应截止时间之前送至采购代理机构。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报价文件作为响应文件组成的一部分，采购文件所规定的初审事项适用于报价文件。</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采用透明包装进行密封或未进行密封的响应文件；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密封破损导致响应文件内容直接或间接泄露的响应文件；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密封信封上项目编号错误的响应文件；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未进行项目报名的供应商（以采购代理机构报名表及报名发票为准）递交的响应文件；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项目名称出现严重歧义或未标注所参与项目信息导致无法分辨所参与项目为本项目的响应文件；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未递交磋商保证金供应商递交的响应文件；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采用传真、电传的响应文件；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多个包号的一并密封的响应文件；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迟交的响应文件；</w:t>
      </w:r>
    </w:p>
    <w:p>
      <w:pPr>
        <w:pStyle w:val="7"/>
        <w:keepNext w:val="0"/>
        <w:keepLines w:val="0"/>
        <w:pageBreakBefore w:val="0"/>
        <w:widowControl/>
        <w:numPr>
          <w:ilvl w:val="0"/>
          <w:numId w:val="11"/>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磋商文件规定的其他情形。</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采购代理机构对所有响应文件的误投或提前启封概不负责。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供应商同时参加几个包磋商时必须按采购文件要求按包号分别制作响应文件，分别密封递交。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递交的响应文件中所提供的通讯方式应保持联络畅通，因联系不上而导致的所有后果由供应商自行承担。</w:t>
      </w:r>
    </w:p>
    <w:p>
      <w:pPr>
        <w:bidi w:val="0"/>
        <w:rPr>
          <w:color w:val="auto"/>
          <w:highlight w:val="none"/>
        </w:rPr>
      </w:pPr>
    </w:p>
    <w:p>
      <w:pPr>
        <w:pStyle w:val="4"/>
        <w:keepNext w:val="0"/>
        <w:keepLines w:val="0"/>
        <w:numPr>
          <w:ilvl w:val="0"/>
          <w:numId w:val="3"/>
        </w:numPr>
        <w:adjustRightInd/>
        <w:spacing w:before="0" w:after="0" w:line="360" w:lineRule="auto"/>
        <w:rPr>
          <w:rFonts w:hAnsi="宋体" w:cs="宋体"/>
          <w:color w:val="auto"/>
          <w:sz w:val="21"/>
          <w:szCs w:val="21"/>
          <w:highlight w:val="none"/>
        </w:rPr>
      </w:pPr>
      <w:bookmarkStart w:id="129" w:name="_Toc23533"/>
      <w:bookmarkStart w:id="130" w:name="_Toc8440"/>
      <w:r>
        <w:rPr>
          <w:rFonts w:hint="eastAsia" w:hAnsi="宋体"/>
          <w:color w:val="auto"/>
          <w:sz w:val="21"/>
          <w:szCs w:val="21"/>
          <w:highlight w:val="none"/>
        </w:rPr>
        <w:t>样品（如需提交）</w:t>
      </w:r>
      <w:bookmarkEnd w:id="129"/>
      <w:bookmarkEnd w:id="130"/>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如有必要，采购代理机构可以要求供应商提供本服务项目涉及的部分设备或产品样品，供应商在磋商时应提交《样品清单》。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为方便评审，供应商在提供样品时，应在所提供的样品表面显著位置标注供应商的名称、包号、样品名称、采购文件规定的服务或货物编号。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31" w:name="_Toc30009"/>
      <w:bookmarkStart w:id="132" w:name="_Toc3401"/>
      <w:r>
        <w:rPr>
          <w:rFonts w:hint="eastAsia" w:ascii="宋体" w:hAnsi="宋体" w:eastAsia="宋体"/>
          <w:color w:val="auto"/>
          <w:sz w:val="24"/>
          <w:szCs w:val="21"/>
          <w:highlight w:val="none"/>
          <w:lang w:val="en-US" w:eastAsia="zh-CN"/>
        </w:rPr>
        <w:t>第五章</w:t>
      </w:r>
      <w:bookmarkEnd w:id="118"/>
      <w:bookmarkEnd w:id="119"/>
      <w:bookmarkEnd w:id="120"/>
      <w:bookmarkEnd w:id="121"/>
      <w:bookmarkEnd w:id="122"/>
      <w:r>
        <w:rPr>
          <w:rFonts w:hint="eastAsia" w:ascii="宋体" w:hAnsi="宋体" w:eastAsia="宋体"/>
          <w:color w:val="auto"/>
          <w:sz w:val="24"/>
          <w:szCs w:val="21"/>
          <w:highlight w:val="none"/>
        </w:rPr>
        <w:t>磋商、评审</w:t>
      </w:r>
      <w:bookmarkEnd w:id="131"/>
      <w:bookmarkEnd w:id="132"/>
    </w:p>
    <w:p>
      <w:pPr>
        <w:pStyle w:val="4"/>
        <w:keepNext w:val="0"/>
        <w:keepLines w:val="0"/>
        <w:numPr>
          <w:ilvl w:val="0"/>
          <w:numId w:val="3"/>
        </w:numPr>
        <w:adjustRightInd/>
        <w:spacing w:before="0" w:after="0" w:line="360" w:lineRule="auto"/>
        <w:rPr>
          <w:rFonts w:hAnsi="宋体"/>
          <w:color w:val="auto"/>
          <w:sz w:val="21"/>
          <w:szCs w:val="21"/>
          <w:highlight w:val="none"/>
        </w:rPr>
      </w:pPr>
      <w:bookmarkStart w:id="133" w:name="_Toc8137"/>
      <w:bookmarkStart w:id="134" w:name="_Toc28590"/>
      <w:r>
        <w:rPr>
          <w:rFonts w:hint="eastAsia" w:hAnsi="宋体"/>
          <w:color w:val="auto"/>
          <w:sz w:val="21"/>
          <w:szCs w:val="21"/>
          <w:highlight w:val="none"/>
        </w:rPr>
        <w:t>签到及评审方法</w:t>
      </w:r>
      <w:bookmarkEnd w:id="133"/>
      <w:bookmarkEnd w:id="134"/>
    </w:p>
    <w:p>
      <w:pPr>
        <w:numPr>
          <w:ilvl w:val="1"/>
          <w:numId w:val="3"/>
        </w:numPr>
        <w:spacing w:line="360" w:lineRule="auto"/>
        <w:rPr>
          <w:rFonts w:ascii="宋体" w:hAnsi="宋体" w:eastAsia="宋体"/>
          <w:color w:val="auto"/>
          <w:sz w:val="21"/>
          <w:szCs w:val="21"/>
          <w:highlight w:val="none"/>
        </w:rPr>
      </w:pPr>
      <w:bookmarkStart w:id="135" w:name="_Toc475249135"/>
      <w:bookmarkStart w:id="136" w:name="_Toc475249138"/>
      <w:r>
        <w:rPr>
          <w:rFonts w:hint="eastAsia" w:ascii="宋体" w:hAnsi="宋体" w:eastAsia="宋体"/>
          <w:color w:val="auto"/>
          <w:sz w:val="21"/>
          <w:szCs w:val="21"/>
          <w:highlight w:val="none"/>
        </w:rPr>
        <w:t>供应商应在《磋商邀请函》规定的日期、时间和地点递交响应文件并进行现场签到。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本项目采用综合评分法。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根据财库〔2015〕124 号，在采购过程中符合要求的供应商只有 2 家的，竞争性磋商采购活动继续进行。</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7" w:name="_Toc10080"/>
      <w:bookmarkStart w:id="138" w:name="_Toc10800"/>
      <w:r>
        <w:rPr>
          <w:rFonts w:hint="eastAsia" w:hAnsi="宋体"/>
          <w:color w:val="auto"/>
          <w:sz w:val="21"/>
          <w:szCs w:val="21"/>
          <w:highlight w:val="none"/>
        </w:rPr>
        <w:t>磋商小组</w:t>
      </w:r>
      <w:bookmarkEnd w:id="135"/>
      <w:bookmarkEnd w:id="137"/>
      <w:bookmarkEnd w:id="13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本次采购依法组建磋商小组。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39" w:name="_Toc17978"/>
      <w:bookmarkStart w:id="140" w:name="_Toc17157"/>
      <w:bookmarkStart w:id="141" w:name="_Toc37121259"/>
      <w:bookmarkStart w:id="142" w:name="_Toc535141844"/>
      <w:r>
        <w:rPr>
          <w:rFonts w:hint="eastAsia" w:hAnsi="宋体"/>
          <w:color w:val="auto"/>
          <w:sz w:val="21"/>
          <w:szCs w:val="21"/>
          <w:highlight w:val="none"/>
        </w:rPr>
        <w:t>对响应文件的初审</w:t>
      </w:r>
      <w:bookmarkEnd w:id="139"/>
      <w:bookmarkEnd w:id="140"/>
      <w:bookmarkEnd w:id="141"/>
      <w:bookmarkEnd w:id="142"/>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开启响应文件后，采购代理机构将组织磋商小组对响应文件进行初审，初审包括资格性审查和符合性审查。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highlight w:val="none"/>
        </w:rPr>
        <w:t>资格性检查中发现下列情形之一的，其报价及响应文件作无效处理。</w:t>
      </w:r>
    </w:p>
    <w:p>
      <w:pPr>
        <w:numPr>
          <w:ilvl w:val="0"/>
          <w:numId w:val="12"/>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包括但不限于：①资格证明文件未提供或不符合采购文件要求的；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2"/>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磋商保证金瑕疵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包括但不限于：①供应商未按采购文件要求提交磋商保证金；②提交方式、提交时间、提交金额不符合采购文件要求；③磋商保证金有效期不符合采购文件要求。</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highlight w:val="none"/>
        </w:rPr>
        <w:t>符合性检查中发现下列情形之一的，其报价及响应文件作无效处理。</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响应文件的有效性、完整性瑕疵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技术响应瑕疵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商务响应瑕疵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违规行为</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法律法规及磋商文件中规定的其它情形</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根据项目情况，磋商小组有权决定采购文件中“可能导致废标”或“可能导致其报价被拒绝”等具体条款是否实施“废标”或“投标被拒绝”，但对同一条款的裁决应适用于每个供应商。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磋商小组确定响应文件的响应性，只根据响应文件本身的内容，而不寻找外部的证据。</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实质上没有响应磋商文件要求的响应文件将被拒绝。供应商不得通过修正或撤销不合要求的偏离或保留从而使其响应成为实质上的响应。</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3" w:name="_Toc29665"/>
      <w:bookmarkStart w:id="144" w:name="_Toc18895"/>
      <w:r>
        <w:rPr>
          <w:rFonts w:hint="eastAsia" w:hAnsi="宋体"/>
          <w:color w:val="auto"/>
          <w:sz w:val="21"/>
          <w:szCs w:val="21"/>
          <w:highlight w:val="none"/>
        </w:rPr>
        <w:t>技术商务</w:t>
      </w:r>
      <w:bookmarkEnd w:id="143"/>
      <w:r>
        <w:rPr>
          <w:rFonts w:hint="eastAsia" w:hAnsi="宋体"/>
          <w:color w:val="auto"/>
          <w:sz w:val="21"/>
          <w:szCs w:val="21"/>
          <w:highlight w:val="none"/>
        </w:rPr>
        <w:t>磋商</w:t>
      </w:r>
      <w:bookmarkEnd w:id="14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磋商小组所有成员应当集中与单一供应商分别进行磋商，并给予所有参加磋商的供应商平等的磋商机会。其磋商顺序以供应商签到顺序为准。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磋商使用语言为中文。</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磋商小组将拒绝与出现以下情况的供应商授权代表进行磋商：</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供应商授权代表无有效授权的；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供应商响应文件中的授权代表与现场进行磋商的授权代表不一致的；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法人参加磋商但无法定代表人证明书的；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授权代表现场不能出具可证明其身份信息的证件或文件的；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供应商一次报价超出采购文件所规定的预算或最高限价的；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扰乱磋商秩序，干扰采购工作正常进行的；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olor w:val="auto"/>
          <w:sz w:val="21"/>
          <w:szCs w:val="21"/>
          <w:highlight w:val="none"/>
        </w:rPr>
        <w:t>直接或间接影响其他供应商进行最终报价的；</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磋商小组认定为违规的情况；</w:t>
      </w:r>
    </w:p>
    <w:p>
      <w:pPr>
        <w:pStyle w:val="7"/>
        <w:keepNext w:val="0"/>
        <w:keepLines w:val="0"/>
        <w:pageBreakBefore w:val="0"/>
        <w:widowControl/>
        <w:numPr>
          <w:ilvl w:val="0"/>
          <w:numId w:val="14"/>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采购文件规定的其他情况。</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5" w:name="_Toc30797"/>
      <w:bookmarkStart w:id="146" w:name="_Toc5492"/>
      <w:r>
        <w:rPr>
          <w:rFonts w:hint="eastAsia" w:hAnsi="宋体"/>
          <w:color w:val="auto"/>
          <w:sz w:val="21"/>
          <w:szCs w:val="21"/>
          <w:highlight w:val="none"/>
        </w:rPr>
        <w:t>最终报价</w:t>
      </w:r>
      <w:bookmarkEnd w:id="145"/>
      <w:bookmarkEnd w:id="146"/>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通过初审，但未在规定时间内进行最终报价的供应商，其报价文件上的报价视为其最终报价。</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已提交响应文件的供应商，在提交最后报价之前，可以根据磋商情况退出磋商。响应文件不予退还，磋商保证金按采购文件规定进行退还。退出磋商的供应商不进入综合评分环节。</w:t>
      </w:r>
    </w:p>
    <w:p>
      <w:pPr>
        <w:bidi w:val="0"/>
        <w:rPr>
          <w:color w:val="auto"/>
          <w:highlight w:val="none"/>
        </w:rPr>
      </w:pPr>
    </w:p>
    <w:bookmarkEnd w:id="136"/>
    <w:p>
      <w:pPr>
        <w:pStyle w:val="4"/>
        <w:keepNext w:val="0"/>
        <w:keepLines w:val="0"/>
        <w:numPr>
          <w:ilvl w:val="0"/>
          <w:numId w:val="3"/>
        </w:numPr>
        <w:adjustRightInd/>
        <w:spacing w:before="0" w:after="0" w:line="360" w:lineRule="auto"/>
        <w:rPr>
          <w:rFonts w:hAnsi="宋体"/>
          <w:color w:val="auto"/>
          <w:sz w:val="21"/>
          <w:szCs w:val="21"/>
          <w:highlight w:val="none"/>
        </w:rPr>
      </w:pPr>
      <w:bookmarkStart w:id="147" w:name="_Toc19157"/>
      <w:bookmarkStart w:id="148" w:name="_Toc2794"/>
      <w:r>
        <w:rPr>
          <w:rFonts w:hint="eastAsia" w:hAnsi="宋体"/>
          <w:color w:val="auto"/>
          <w:sz w:val="21"/>
          <w:szCs w:val="21"/>
          <w:highlight w:val="none"/>
        </w:rPr>
        <w:t>综合评分</w:t>
      </w:r>
      <w:bookmarkEnd w:id="147"/>
      <w:bookmarkEnd w:id="14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经磋商确定最终采购需求和提交最后报价的供应商后，由磋商小组采用综合评分法对提交最后报价的供应商的响应文件和最后报价进行综合评分。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价格评审：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以各供应商最终报价进行评审；</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报价错误修正原则：</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w:t>
      </w:r>
    </w:p>
    <w:p>
      <w:pPr>
        <w:pStyle w:val="7"/>
        <w:keepNext w:val="0"/>
        <w:keepLines w:val="0"/>
        <w:pageBreakBefore w:val="0"/>
        <w:widowControl/>
        <w:kinsoku/>
        <w:wordWrap/>
        <w:overflowPunct/>
        <w:topLinePunct w:val="0"/>
        <w:autoSpaceDE/>
        <w:autoSpaceDN/>
        <w:bidi w:val="0"/>
        <w:adjustRightInd w:val="0"/>
        <w:snapToGrid w:val="0"/>
        <w:spacing w:before="0"/>
        <w:ind w:left="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 以上修正后的报价应当经报价供应商采用书面形式，并加盖公章，或者由法定代表人或其授权的代表签字确认，并对报价供应商产生约束力，报价供应商不确认的，其报价无效。</w:t>
      </w:r>
    </w:p>
    <w:p>
      <w:pPr>
        <w:pStyle w:val="7"/>
        <w:keepNext w:val="0"/>
        <w:keepLines w:val="0"/>
        <w:pageBreakBefore w:val="0"/>
        <w:widowControl/>
        <w:numPr>
          <w:ilvl w:val="0"/>
          <w:numId w:val="15"/>
        </w:numPr>
        <w:kinsoku/>
        <w:wordWrap/>
        <w:overflowPunct/>
        <w:topLinePunct w:val="0"/>
        <w:autoSpaceDE/>
        <w:autoSpaceDN/>
        <w:bidi w:val="0"/>
        <w:adjustRightInd w:val="0"/>
        <w:snapToGrid w:val="0"/>
        <w:spacing w:before="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对报价服务报价漏项的，作非实质性响应处理。</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技术商务评审要求详见《商务技术评分及价格权重表》。</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3"/>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49" w:name="_Toc23560"/>
      <w:bookmarkStart w:id="150" w:name="_Toc30725"/>
      <w:r>
        <w:rPr>
          <w:rFonts w:hint="eastAsia" w:hAnsi="宋体"/>
          <w:color w:val="auto"/>
          <w:sz w:val="21"/>
          <w:szCs w:val="21"/>
          <w:highlight w:val="none"/>
        </w:rPr>
        <w:t>优惠政策</w:t>
      </w:r>
      <w:bookmarkEnd w:id="149"/>
      <w:bookmarkEnd w:id="150"/>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w:t>
      </w:r>
      <w:r>
        <w:rPr>
          <w:rFonts w:hint="eastAsia" w:ascii="宋体" w:hAnsi="宋体"/>
          <w:color w:val="auto"/>
          <w:sz w:val="21"/>
          <w:szCs w:val="21"/>
          <w:lang w:eastAsia="zh-CN"/>
        </w:rPr>
        <w:t>报价</w:t>
      </w:r>
      <w:r>
        <w:rPr>
          <w:rFonts w:hint="eastAsia" w:ascii="宋体" w:hAnsi="宋体" w:eastAsia="宋体"/>
          <w:color w:val="auto"/>
          <w:sz w:val="21"/>
          <w:szCs w:val="21"/>
        </w:rPr>
        <w:t>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供应商为小型或微型企业且</w:t>
      </w:r>
      <w:r>
        <w:rPr>
          <w:rFonts w:hint="eastAsia" w:ascii="宋体" w:hAnsi="宋体"/>
          <w:color w:val="auto"/>
          <w:sz w:val="21"/>
          <w:szCs w:val="21"/>
          <w:lang w:eastAsia="zh-CN"/>
        </w:rPr>
        <w:t>响应</w:t>
      </w:r>
      <w:r>
        <w:rPr>
          <w:rFonts w:hint="eastAsia" w:ascii="宋体" w:hAnsi="宋体" w:eastAsia="宋体"/>
          <w:color w:val="auto"/>
          <w:sz w:val="21"/>
          <w:szCs w:val="21"/>
        </w:rPr>
        <w:t>产品含小型或微型企业产品时，其对应产品价格的扣除详见</w:t>
      </w:r>
      <w:r>
        <w:rPr>
          <w:rFonts w:hint="eastAsia" w:ascii="宋体" w:hAnsi="宋体"/>
          <w:color w:val="auto"/>
          <w:sz w:val="21"/>
          <w:szCs w:val="21"/>
          <w:lang w:eastAsia="zh-CN"/>
        </w:rPr>
        <w:t>磋商</w:t>
      </w:r>
      <w:r>
        <w:rPr>
          <w:rFonts w:hint="eastAsia" w:ascii="宋体" w:hAnsi="宋体" w:eastAsia="宋体"/>
          <w:color w:val="auto"/>
          <w:sz w:val="21"/>
          <w:szCs w:val="21"/>
        </w:rPr>
        <w:t>资料表。</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供应商同时为小型、微型企业、监狱企业、残疾人福利性单位任两种或以上情况的，评审中只享受一次价格扣除，不重复进行价格扣除。</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安置的残疾人占本单位在职职工人数的比例不低于25%（含25%），并且安置的残疾人人数不少于10人（含10人）；</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依法与安置的每位残疾人签订了一年以上（含一年）的劳动合同或服务协议；</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为安置的每位残疾人按月足额缴纳了基本养老保险、基本医疗保险、失业保险、工伤保险和生育保险等社会保险费；</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通过银行等金融机构向安置的每位残疾人，按月支付了不低于单位所在区县适用的经省级人民政府批准的月最低工资标准的工资；</w:t>
      </w:r>
    </w:p>
    <w:p>
      <w:pPr>
        <w:pStyle w:val="7"/>
        <w:keepNext w:val="0"/>
        <w:keepLines w:val="0"/>
        <w:pageBreakBefore w:val="0"/>
        <w:widowControl/>
        <w:numPr>
          <w:ilvl w:val="0"/>
          <w:numId w:val="16"/>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提供本单位制造的货物、承担的工程或者服务（以下简称产品），或者提供其他残疾人福利性单位制造的货物（不包括使用非残疾人福利性单位注册商标的货物）。</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spacing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w:t>
      </w:r>
      <w:r>
        <w:rPr>
          <w:rFonts w:hint="eastAsia" w:ascii="宋体" w:hAnsi="宋体"/>
          <w:color w:val="auto"/>
          <w:sz w:val="21"/>
          <w:szCs w:val="21"/>
          <w:lang w:eastAsia="zh-CN"/>
        </w:rPr>
        <w:t>响应</w:t>
      </w:r>
      <w:r>
        <w:rPr>
          <w:rFonts w:hint="eastAsia" w:ascii="宋体" w:hAnsi="宋体" w:eastAsia="宋体"/>
          <w:color w:val="auto"/>
          <w:sz w:val="21"/>
          <w:szCs w:val="21"/>
        </w:rPr>
        <w:t>单位的价格给予一定比例扣除（扣除比例详见</w:t>
      </w:r>
      <w:r>
        <w:rPr>
          <w:rFonts w:hint="eastAsia" w:ascii="宋体" w:hAnsi="宋体"/>
          <w:color w:val="auto"/>
          <w:sz w:val="21"/>
          <w:szCs w:val="21"/>
          <w:lang w:eastAsia="zh-CN"/>
        </w:rPr>
        <w:t>磋商</w:t>
      </w:r>
      <w:r>
        <w:rPr>
          <w:rFonts w:hint="eastAsia" w:ascii="宋体" w:hAnsi="宋体" w:eastAsia="宋体"/>
          <w:color w:val="auto"/>
          <w:sz w:val="21"/>
          <w:szCs w:val="21"/>
        </w:rPr>
        <w:t>资料表）。</w:t>
      </w:r>
    </w:p>
    <w:p>
      <w:pPr>
        <w:numPr>
          <w:ilvl w:val="1"/>
          <w:numId w:val="3"/>
        </w:numPr>
        <w:spacing w:line="360" w:lineRule="auto"/>
        <w:rPr>
          <w:rFonts w:ascii="宋体" w:hAnsi="宋体" w:eastAsia="宋体"/>
          <w:color w:val="auto"/>
          <w:sz w:val="21"/>
          <w:szCs w:val="21"/>
        </w:rPr>
      </w:pPr>
      <w:r>
        <w:rPr>
          <w:rFonts w:hint="eastAsia" w:ascii="宋体" w:hAnsi="宋体" w:eastAsia="宋体"/>
          <w:color w:val="auto"/>
          <w:sz w:val="21"/>
          <w:szCs w:val="21"/>
        </w:rPr>
        <w:t>提供节能产品或环境标志产品的供应商其产品应符合以下规定：</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7"/>
        <w:keepNext w:val="0"/>
        <w:keepLines w:val="0"/>
        <w:pageBreakBefore w:val="0"/>
        <w:widowControl/>
        <w:numPr>
          <w:ilvl w:val="0"/>
          <w:numId w:val="17"/>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rPr>
      </w:pPr>
      <w:r>
        <w:rPr>
          <w:rFonts w:hint="eastAsia" w:ascii="宋体" w:hAnsi="宋体" w:eastAsia="宋体" w:cs="宋体"/>
          <w:color w:val="auto"/>
          <w:sz w:val="21"/>
          <w:szCs w:val="21"/>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bidi w:val="0"/>
        <w:rPr>
          <w:color w:val="auto"/>
          <w:highlight w:val="none"/>
        </w:rPr>
      </w:pPr>
      <w:r>
        <w:rPr>
          <w:rFonts w:hint="eastAsia" w:ascii="宋体" w:hAnsi="宋体" w:eastAsia="宋体" w:cs="宋体"/>
          <w:color w:val="auto"/>
          <w:sz w:val="21"/>
          <w:szCs w:val="21"/>
        </w:rPr>
        <w:t>若用户需求中含有《节能产品政府采购品目清单》中的政府强制采购产品，供应商应根据要求提供所对应的节能产品，否则做</w:t>
      </w:r>
      <w:r>
        <w:rPr>
          <w:rFonts w:hint="eastAsia" w:cs="宋体"/>
          <w:color w:val="auto"/>
          <w:sz w:val="21"/>
          <w:szCs w:val="21"/>
          <w:lang w:eastAsia="zh-CN"/>
        </w:rPr>
        <w:t>响应</w:t>
      </w:r>
      <w:r>
        <w:rPr>
          <w:rFonts w:hint="eastAsia" w:ascii="宋体" w:hAnsi="宋体" w:eastAsia="宋体" w:cs="宋体"/>
          <w:color w:val="auto"/>
          <w:sz w:val="21"/>
          <w:szCs w:val="21"/>
        </w:rPr>
        <w:t>无效处理。</w:t>
      </w:r>
    </w:p>
    <w:p>
      <w:pPr>
        <w:pStyle w:val="3"/>
        <w:keepNext w:val="0"/>
        <w:keepLines w:val="0"/>
        <w:spacing w:before="0" w:after="0" w:line="360" w:lineRule="auto"/>
        <w:jc w:val="center"/>
        <w:rPr>
          <w:rFonts w:ascii="宋体" w:hAnsi="宋体" w:eastAsia="宋体"/>
          <w:color w:val="auto"/>
          <w:sz w:val="24"/>
          <w:szCs w:val="21"/>
          <w:highlight w:val="none"/>
        </w:rPr>
      </w:pPr>
      <w:bookmarkStart w:id="151" w:name="_Toc21886"/>
      <w:bookmarkStart w:id="152" w:name="_Toc1066"/>
      <w:r>
        <w:rPr>
          <w:rFonts w:hint="eastAsia" w:ascii="宋体" w:hAnsi="宋体" w:eastAsia="宋体"/>
          <w:color w:val="auto"/>
          <w:sz w:val="24"/>
          <w:szCs w:val="21"/>
          <w:highlight w:val="none"/>
          <w:lang w:val="en-US" w:eastAsia="zh-CN"/>
        </w:rPr>
        <w:t>第六章</w:t>
      </w:r>
      <w:r>
        <w:rPr>
          <w:rFonts w:hint="eastAsia" w:ascii="宋体" w:hAnsi="宋体" w:eastAsia="宋体"/>
          <w:color w:val="auto"/>
          <w:sz w:val="24"/>
          <w:szCs w:val="21"/>
          <w:highlight w:val="none"/>
        </w:rPr>
        <w:t>确定成交供应商</w:t>
      </w:r>
      <w:bookmarkEnd w:id="151"/>
      <w:bookmarkEnd w:id="152"/>
    </w:p>
    <w:p>
      <w:pPr>
        <w:pStyle w:val="4"/>
        <w:keepNext w:val="0"/>
        <w:keepLines w:val="0"/>
        <w:numPr>
          <w:ilvl w:val="0"/>
          <w:numId w:val="3"/>
        </w:numPr>
        <w:adjustRightInd/>
        <w:spacing w:before="0" w:after="0" w:line="360" w:lineRule="auto"/>
        <w:rPr>
          <w:rFonts w:hAnsi="宋体"/>
          <w:color w:val="auto"/>
          <w:sz w:val="21"/>
          <w:szCs w:val="21"/>
          <w:highlight w:val="none"/>
        </w:rPr>
      </w:pPr>
      <w:bookmarkStart w:id="153" w:name="_Toc29068"/>
      <w:bookmarkStart w:id="154" w:name="_Toc19359"/>
      <w:r>
        <w:rPr>
          <w:rFonts w:hint="eastAsia" w:hAnsi="宋体"/>
          <w:color w:val="auto"/>
          <w:sz w:val="21"/>
          <w:szCs w:val="21"/>
          <w:highlight w:val="none"/>
        </w:rPr>
        <w:t>确定成交</w:t>
      </w:r>
      <w:bookmarkEnd w:id="153"/>
      <w:bookmarkEnd w:id="154"/>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磋商小组完成评审工作后，出具评审报告，推荐3名以上成交候选供应商。符合法律法规允许的情况的，可以推荐2家成交候选供应商。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采购人从成交候选供应商名单中按照综合得分排序确定1名成交供应商。</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5" w:name="_Toc3941"/>
      <w:bookmarkStart w:id="156" w:name="_Toc17569"/>
      <w:r>
        <w:rPr>
          <w:rFonts w:hint="eastAsia" w:hAnsi="宋体"/>
          <w:color w:val="auto"/>
          <w:sz w:val="21"/>
          <w:szCs w:val="21"/>
          <w:highlight w:val="none"/>
        </w:rPr>
        <w:t>发布采购结果</w:t>
      </w:r>
      <w:bookmarkEnd w:id="155"/>
      <w:bookmarkEnd w:id="156"/>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磋商小组提出评标书面报告和推荐成交意见报采购人确认后，采购代理机构将在指定的信息发布媒体上发布公告。</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公告期限为1个工作日。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结果公示发布后，成交单位应及时领取成交通知书。《成交通知书》是合同的一个组成部分，《成交通知书》对采购人和成交供应商均具有同等法律效力。</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成交供应商无正当理由不得放弃中标，因成交供应商放弃中标而对采购人造成的损失由放弃中标的成交供应商承担。</w:t>
      </w:r>
    </w:p>
    <w:p>
      <w:pPr>
        <w:pStyle w:val="7"/>
        <w:rPr>
          <w:rFonts w:ascii="宋体" w:hAnsi="宋体" w:eastAsia="宋体" w:cs="宋体"/>
          <w:color w:val="auto"/>
          <w:sz w:val="21"/>
          <w:szCs w:val="21"/>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57" w:name="_Toc32414"/>
      <w:bookmarkStart w:id="158" w:name="_Toc29067"/>
      <w:r>
        <w:rPr>
          <w:rFonts w:hint="eastAsia" w:hAnsi="宋体"/>
          <w:color w:val="auto"/>
          <w:sz w:val="21"/>
          <w:szCs w:val="21"/>
          <w:highlight w:val="none"/>
        </w:rPr>
        <w:t>原件核查</w:t>
      </w:r>
      <w:bookmarkEnd w:id="157"/>
      <w:bookmarkEnd w:id="158"/>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采购结果发布后，采购代理机构及采购人有权对成交的供应商进行原件核查。成交供应商应在五个工作日内递交相关资质原件到采购代理机构办公地址或采购人指定地址进行核查。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成交供应商有下列情形之一的，取消中标资格：</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在规定时间内递交的原件数量、内容与采购人、采购代理机构要求不一致的；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numPr>
          <w:ilvl w:val="0"/>
          <w:numId w:val="1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供应商有下列情形之一的，响应文件作无效处理，其报价无效：</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在规定时间内递交的原件数量、内容不符合采购人、采购代理机构要求的；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7"/>
        <w:keepNext w:val="0"/>
        <w:keepLines w:val="0"/>
        <w:pageBreakBefore w:val="0"/>
        <w:widowControl/>
        <w:numPr>
          <w:ilvl w:val="0"/>
          <w:numId w:val="19"/>
        </w:numPr>
        <w:kinsoku/>
        <w:wordWrap/>
        <w:overflowPunct/>
        <w:topLinePunct w:val="0"/>
        <w:autoSpaceDE/>
        <w:autoSpaceDN/>
        <w:bidi w:val="0"/>
        <w:adjustRightInd w:val="0"/>
        <w:snapToGrid w:val="0"/>
        <w:spacing w:before="0"/>
        <w:ind w:firstLine="42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若供应商出现虚假应标情况，响应文件作无效处理，其报价、成交无效。并根据相关法律上报相关监管部门。</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bidi w:val="0"/>
        <w:rPr>
          <w:color w:val="auto"/>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59" w:name="_Toc31756"/>
      <w:bookmarkStart w:id="160" w:name="_Toc3829"/>
      <w:bookmarkStart w:id="161" w:name="_Toc37756778"/>
      <w:bookmarkStart w:id="162" w:name="_Toc110953852"/>
      <w:bookmarkStart w:id="163" w:name="_Toc475249143"/>
      <w:r>
        <w:rPr>
          <w:rFonts w:hint="eastAsia" w:ascii="宋体" w:hAnsi="宋体" w:eastAsia="宋体"/>
          <w:color w:val="auto"/>
          <w:sz w:val="24"/>
          <w:szCs w:val="21"/>
          <w:highlight w:val="none"/>
          <w:lang w:val="en-US" w:eastAsia="zh-CN"/>
        </w:rPr>
        <w:t>第七章</w:t>
      </w:r>
      <w:r>
        <w:rPr>
          <w:rFonts w:hint="eastAsia" w:ascii="宋体" w:hAnsi="宋体" w:eastAsia="宋体"/>
          <w:color w:val="auto"/>
          <w:sz w:val="24"/>
          <w:szCs w:val="21"/>
          <w:highlight w:val="none"/>
        </w:rPr>
        <w:t>签订合同</w:t>
      </w:r>
      <w:bookmarkEnd w:id="159"/>
      <w:bookmarkEnd w:id="160"/>
      <w:bookmarkEnd w:id="161"/>
      <w:bookmarkEnd w:id="162"/>
    </w:p>
    <w:p>
      <w:pPr>
        <w:pStyle w:val="4"/>
        <w:keepNext w:val="0"/>
        <w:keepLines w:val="0"/>
        <w:numPr>
          <w:ilvl w:val="0"/>
          <w:numId w:val="3"/>
        </w:numPr>
        <w:adjustRightInd/>
        <w:spacing w:before="0" w:after="0" w:line="360" w:lineRule="auto"/>
        <w:rPr>
          <w:rFonts w:hAnsi="宋体"/>
          <w:color w:val="auto"/>
          <w:sz w:val="21"/>
          <w:szCs w:val="21"/>
          <w:highlight w:val="none"/>
        </w:rPr>
      </w:pPr>
      <w:bookmarkStart w:id="164" w:name="_Toc29253"/>
      <w:bookmarkStart w:id="165" w:name="_Toc18000"/>
      <w:r>
        <w:rPr>
          <w:rFonts w:hint="eastAsia" w:hAnsi="宋体"/>
          <w:color w:val="auto"/>
          <w:sz w:val="21"/>
          <w:szCs w:val="21"/>
          <w:highlight w:val="none"/>
        </w:rPr>
        <w:t>签订合同</w:t>
      </w:r>
      <w:bookmarkEnd w:id="164"/>
      <w:bookmarkEnd w:id="16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采购人与成交供应商应当在成交通知书发出之日起30日内，按照采购文件确定的事项签订政府采购合同。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合同内容不得与磋商文件和响应文件内容有实质性偏离。</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合同签订之日起2个工作日内，成交供应商应将所签订的合同副本（加盖公章）交至广东政通招标有限公司归档。</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bidi w:val="0"/>
        <w:rPr>
          <w:color w:val="auto"/>
          <w:highlight w:val="none"/>
        </w:rPr>
      </w:pPr>
    </w:p>
    <w:p>
      <w:pPr>
        <w:pStyle w:val="3"/>
        <w:keepNext w:val="0"/>
        <w:keepLines w:val="0"/>
        <w:spacing w:before="0" w:after="0" w:line="360" w:lineRule="auto"/>
        <w:jc w:val="center"/>
        <w:rPr>
          <w:rFonts w:ascii="宋体" w:hAnsi="宋体" w:eastAsia="宋体"/>
          <w:color w:val="auto"/>
          <w:sz w:val="24"/>
          <w:szCs w:val="21"/>
          <w:highlight w:val="none"/>
        </w:rPr>
      </w:pPr>
      <w:bookmarkStart w:id="166" w:name="_Toc12802"/>
      <w:bookmarkStart w:id="167" w:name="_Toc8165"/>
      <w:r>
        <w:rPr>
          <w:rFonts w:hint="eastAsia" w:ascii="宋体" w:hAnsi="宋体" w:eastAsia="宋体"/>
          <w:color w:val="auto"/>
          <w:sz w:val="24"/>
          <w:szCs w:val="21"/>
          <w:highlight w:val="none"/>
          <w:lang w:val="en-US" w:eastAsia="zh-CN"/>
        </w:rPr>
        <w:t>第八章</w:t>
      </w:r>
      <w:r>
        <w:rPr>
          <w:rFonts w:hint="eastAsia" w:ascii="宋体" w:hAnsi="宋体" w:eastAsia="宋体"/>
          <w:color w:val="auto"/>
          <w:sz w:val="24"/>
          <w:szCs w:val="21"/>
          <w:highlight w:val="none"/>
        </w:rPr>
        <w:t>询问或质疑</w:t>
      </w:r>
      <w:bookmarkEnd w:id="166"/>
      <w:bookmarkEnd w:id="167"/>
    </w:p>
    <w:p>
      <w:pPr>
        <w:pStyle w:val="4"/>
        <w:keepNext w:val="0"/>
        <w:keepLines w:val="0"/>
        <w:numPr>
          <w:ilvl w:val="0"/>
          <w:numId w:val="3"/>
        </w:numPr>
        <w:adjustRightInd/>
        <w:spacing w:before="0" w:after="0" w:line="360" w:lineRule="auto"/>
        <w:rPr>
          <w:rFonts w:hAnsi="宋体"/>
          <w:color w:val="auto"/>
          <w:sz w:val="21"/>
          <w:szCs w:val="21"/>
          <w:highlight w:val="none"/>
        </w:rPr>
      </w:pPr>
      <w:bookmarkStart w:id="168" w:name="_Toc18663"/>
      <w:bookmarkStart w:id="169" w:name="_Toc452"/>
      <w:r>
        <w:rPr>
          <w:rFonts w:hint="eastAsia" w:hAnsi="宋体"/>
          <w:color w:val="auto"/>
          <w:sz w:val="21"/>
          <w:szCs w:val="21"/>
          <w:highlight w:val="none"/>
        </w:rPr>
        <w:t>询问</w:t>
      </w:r>
      <w:bookmarkEnd w:id="168"/>
      <w:bookmarkEnd w:id="169"/>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供应商对政府采购活动事项（采购文件、采购过程和采购结果）有疑问的，可以按规定向采购代理机构提出询问。</w:t>
      </w:r>
    </w:p>
    <w:p>
      <w:pPr>
        <w:bidi w:val="0"/>
        <w:rPr>
          <w:color w:val="auto"/>
          <w:highlight w:val="none"/>
        </w:rPr>
      </w:pPr>
    </w:p>
    <w:p>
      <w:pPr>
        <w:pStyle w:val="4"/>
        <w:keepNext w:val="0"/>
        <w:keepLines w:val="0"/>
        <w:numPr>
          <w:ilvl w:val="0"/>
          <w:numId w:val="3"/>
        </w:numPr>
        <w:adjustRightInd/>
        <w:spacing w:before="0" w:after="0" w:line="360" w:lineRule="auto"/>
        <w:rPr>
          <w:rFonts w:hAnsi="宋体"/>
          <w:color w:val="auto"/>
          <w:sz w:val="21"/>
          <w:szCs w:val="21"/>
          <w:highlight w:val="none"/>
        </w:rPr>
      </w:pPr>
      <w:bookmarkStart w:id="170" w:name="_Toc17155"/>
      <w:bookmarkStart w:id="171" w:name="_Toc20114"/>
      <w:r>
        <w:rPr>
          <w:rFonts w:hint="eastAsia" w:hAnsi="宋体"/>
          <w:color w:val="auto"/>
          <w:sz w:val="21"/>
          <w:szCs w:val="21"/>
          <w:highlight w:val="none"/>
        </w:rPr>
        <w:t>质疑</w:t>
      </w:r>
      <w:bookmarkEnd w:id="170"/>
      <w:bookmarkEnd w:id="171"/>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提出质疑的供应商应当是参与所质疑项目采购活动的供应商或是在规定的时间内已依法获取其可质疑的磋商文件的潜在供应商。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供应商在法定质疑期内须一次性提出针对同一采购程序环节的质疑，对同一采购程序环节的二次质疑采购代理机构不予受理。</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供应商提出质疑应当提交质疑函和必要的证明材料（须注明法律依据），因缺少相关证明材料或证明材料存在不真实而导致的后果由供应商自行承担。</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不涉及对供应商利益造成损害的相关内容，不能作为质疑内容提交。</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（一）捏造事实;</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（二）提供虚假材料;</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（三）以非法手段取得证明材料。证据来源的合法性存在明显疑问，投诉人无法证明其取得方式合法的，视为以非法手段取得证明材料。</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以联合体形式参加政府采购活动的，其质疑应当由组成联合体的所有供应商共同提出。</w:t>
      </w:r>
    </w:p>
    <w:p>
      <w:pPr>
        <w:bidi w:val="0"/>
        <w:rPr>
          <w:color w:val="auto"/>
          <w:highlight w:val="none"/>
        </w:rPr>
      </w:pPr>
    </w:p>
    <w:bookmarkEnd w:id="163"/>
    <w:p>
      <w:pPr>
        <w:pStyle w:val="3"/>
        <w:keepNext w:val="0"/>
        <w:keepLines w:val="0"/>
        <w:spacing w:before="0" w:after="0" w:line="360" w:lineRule="auto"/>
        <w:jc w:val="center"/>
        <w:rPr>
          <w:rFonts w:ascii="宋体" w:hAnsi="宋体" w:eastAsia="宋体"/>
          <w:color w:val="auto"/>
          <w:sz w:val="24"/>
          <w:szCs w:val="21"/>
          <w:highlight w:val="none"/>
        </w:rPr>
      </w:pPr>
      <w:bookmarkStart w:id="172" w:name="_Toc5474"/>
      <w:bookmarkStart w:id="173" w:name="_Toc5551"/>
      <w:r>
        <w:rPr>
          <w:rFonts w:hint="eastAsia" w:ascii="宋体" w:hAnsi="宋体" w:eastAsia="宋体"/>
          <w:color w:val="auto"/>
          <w:sz w:val="24"/>
          <w:szCs w:val="21"/>
          <w:highlight w:val="none"/>
          <w:lang w:val="en-US" w:eastAsia="zh-CN"/>
        </w:rPr>
        <w:t>第九章</w:t>
      </w:r>
      <w:r>
        <w:rPr>
          <w:rFonts w:hint="eastAsia" w:ascii="宋体" w:hAnsi="宋体" w:eastAsia="宋体"/>
          <w:color w:val="auto"/>
          <w:sz w:val="24"/>
          <w:szCs w:val="21"/>
          <w:highlight w:val="none"/>
        </w:rPr>
        <w:t>成交服务费</w:t>
      </w:r>
      <w:bookmarkEnd w:id="172"/>
      <w:bookmarkEnd w:id="173"/>
    </w:p>
    <w:p>
      <w:pPr>
        <w:pStyle w:val="4"/>
        <w:keepNext w:val="0"/>
        <w:keepLines w:val="0"/>
        <w:numPr>
          <w:ilvl w:val="0"/>
          <w:numId w:val="3"/>
        </w:numPr>
        <w:adjustRightInd/>
        <w:spacing w:before="0" w:after="0" w:line="360" w:lineRule="auto"/>
        <w:rPr>
          <w:rFonts w:hAnsi="宋体"/>
          <w:color w:val="auto"/>
          <w:sz w:val="21"/>
          <w:szCs w:val="21"/>
          <w:highlight w:val="none"/>
        </w:rPr>
      </w:pPr>
      <w:bookmarkStart w:id="174" w:name="_Toc26991"/>
      <w:bookmarkStart w:id="175" w:name="_Toc9437"/>
      <w:r>
        <w:rPr>
          <w:rFonts w:hint="eastAsia" w:hAnsi="宋体"/>
          <w:color w:val="auto"/>
          <w:sz w:val="21"/>
          <w:szCs w:val="21"/>
          <w:highlight w:val="none"/>
        </w:rPr>
        <w:t>成交服务费</w:t>
      </w:r>
      <w:bookmarkEnd w:id="174"/>
      <w:bookmarkEnd w:id="175"/>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成交供应商须向招标代理机构按如下标准和规定交纳成交服务费。</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以《成交通知书》中规定的成交总金额作为收费的计算基数。</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服务费的货币为人民币。</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服务费以转账或现金的形式支付，</w:t>
      </w:r>
      <w:bookmarkStart w:id="176" w:name="_Ref179619574"/>
      <w:r>
        <w:rPr>
          <w:rFonts w:hint="eastAsia" w:ascii="宋体" w:hAnsi="宋体" w:eastAsia="宋体"/>
          <w:color w:val="auto"/>
          <w:sz w:val="21"/>
          <w:szCs w:val="21"/>
          <w:highlight w:val="none"/>
        </w:rPr>
        <w:t>成交人应按照磋商文件中的规定交纳成交服务费。</w:t>
      </w:r>
      <w:bookmarkEnd w:id="176"/>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招标代理服务费汇入账号：</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spacing w:line="360" w:lineRule="auto"/>
        <w:ind w:firstLine="567"/>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p>
      <w:pPr>
        <w:bidi w:val="0"/>
        <w:rPr>
          <w:color w:val="auto"/>
          <w:highlight w:val="none"/>
        </w:rPr>
      </w:pPr>
    </w:p>
    <w:bookmarkEnd w:id="29"/>
    <w:bookmarkEnd w:id="30"/>
    <w:bookmarkEnd w:id="31"/>
    <w:bookmarkEnd w:id="32"/>
    <w:bookmarkEnd w:id="33"/>
    <w:bookmarkEnd w:id="34"/>
    <w:bookmarkEnd w:id="35"/>
    <w:bookmarkEnd w:id="36"/>
    <w:bookmarkEnd w:id="37"/>
    <w:bookmarkEnd w:id="38"/>
    <w:bookmarkEnd w:id="39"/>
    <w:p>
      <w:pPr>
        <w:pStyle w:val="3"/>
        <w:keepNext w:val="0"/>
        <w:keepLines w:val="0"/>
        <w:spacing w:before="0" w:after="0" w:line="360" w:lineRule="auto"/>
        <w:jc w:val="center"/>
        <w:rPr>
          <w:rFonts w:ascii="宋体" w:hAnsi="宋体" w:eastAsia="宋体"/>
          <w:color w:val="auto"/>
          <w:sz w:val="24"/>
          <w:szCs w:val="21"/>
          <w:highlight w:val="none"/>
        </w:rPr>
      </w:pPr>
      <w:bookmarkStart w:id="177" w:name="_Toc18389"/>
      <w:bookmarkStart w:id="178" w:name="_Toc7834"/>
      <w:bookmarkStart w:id="179" w:name="_Toc51756491"/>
      <w:bookmarkStart w:id="180" w:name="_Toc457975339"/>
      <w:bookmarkStart w:id="181" w:name="_Toc467049706"/>
      <w:bookmarkStart w:id="182" w:name="_Toc476976198"/>
      <w:bookmarkStart w:id="183" w:name="_Toc52021538"/>
      <w:bookmarkStart w:id="184" w:name="_Toc486671570"/>
      <w:bookmarkStart w:id="185" w:name="_Toc56353011"/>
      <w:bookmarkStart w:id="186" w:name="_Toc467050236"/>
      <w:bookmarkStart w:id="187" w:name="_Toc467236766"/>
      <w:bookmarkStart w:id="188" w:name="_Toc51939456"/>
      <w:bookmarkStart w:id="189" w:name="_Toc52027926"/>
      <w:r>
        <w:rPr>
          <w:rFonts w:hint="eastAsia" w:ascii="宋体" w:hAnsi="宋体" w:eastAsia="宋体"/>
          <w:color w:val="auto"/>
          <w:sz w:val="24"/>
          <w:szCs w:val="21"/>
          <w:highlight w:val="none"/>
          <w:lang w:val="en-US" w:eastAsia="zh-CN"/>
        </w:rPr>
        <w:t>第十章</w:t>
      </w:r>
      <w:r>
        <w:rPr>
          <w:rFonts w:hint="eastAsia" w:ascii="宋体" w:hAnsi="宋体" w:eastAsia="宋体"/>
          <w:color w:val="auto"/>
          <w:sz w:val="24"/>
          <w:szCs w:val="21"/>
          <w:highlight w:val="none"/>
        </w:rPr>
        <w:t>其他</w:t>
      </w:r>
      <w:bookmarkEnd w:id="177"/>
      <w:bookmarkEnd w:id="178"/>
    </w:p>
    <w:p>
      <w:pPr>
        <w:pStyle w:val="4"/>
        <w:keepNext w:val="0"/>
        <w:keepLines w:val="0"/>
        <w:numPr>
          <w:ilvl w:val="0"/>
          <w:numId w:val="3"/>
        </w:numPr>
        <w:adjustRightInd/>
        <w:spacing w:before="0" w:after="0" w:line="360" w:lineRule="auto"/>
        <w:rPr>
          <w:rFonts w:hAnsi="宋体"/>
          <w:color w:val="auto"/>
          <w:sz w:val="21"/>
          <w:szCs w:val="21"/>
          <w:highlight w:val="none"/>
        </w:rPr>
      </w:pPr>
      <w:bookmarkStart w:id="190" w:name="_Toc31522"/>
      <w:bookmarkStart w:id="191" w:name="_Toc10953"/>
      <w:r>
        <w:rPr>
          <w:rFonts w:hint="eastAsia" w:hAnsi="宋体"/>
          <w:color w:val="auto"/>
          <w:sz w:val="21"/>
          <w:szCs w:val="21"/>
          <w:highlight w:val="none"/>
        </w:rPr>
        <w:t>磋商文件的解释权</w:t>
      </w:r>
      <w:bookmarkEnd w:id="190"/>
      <w:bookmarkEnd w:id="191"/>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采购文件版本号：广东政通20210</w:t>
      </w:r>
      <w:r>
        <w:rPr>
          <w:rFonts w:hint="eastAsia" w:ascii="宋体" w:hAnsi="宋体"/>
          <w:color w:val="auto"/>
          <w:sz w:val="21"/>
          <w:szCs w:val="21"/>
          <w:highlight w:val="none"/>
          <w:lang w:val="en-US" w:eastAsia="zh-CN"/>
        </w:rPr>
        <w:t>618</w:t>
      </w:r>
      <w:r>
        <w:rPr>
          <w:rFonts w:hint="eastAsia" w:ascii="宋体" w:hAnsi="宋体" w:eastAsia="宋体"/>
          <w:color w:val="auto"/>
          <w:sz w:val="21"/>
          <w:szCs w:val="21"/>
          <w:highlight w:val="none"/>
        </w:rPr>
        <w:t>。</w:t>
      </w:r>
    </w:p>
    <w:p>
      <w:pPr>
        <w:numPr>
          <w:ilvl w:val="1"/>
          <w:numId w:val="3"/>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本采购文件是根据国家有关法律、法规以及政府采购管理有关规定和参照国际惯例编制，解释权属本采购代理机构。</w:t>
      </w:r>
    </w:p>
    <w:p>
      <w:pPr>
        <w:bidi w:val="0"/>
        <w:rPr>
          <w:color w:val="auto"/>
          <w:highlight w:val="none"/>
        </w:rPr>
      </w:pPr>
      <w:r>
        <w:rPr>
          <w:color w:val="auto"/>
          <w:highlight w:val="none"/>
        </w:rPr>
        <w:br w:type="page"/>
      </w:r>
      <w:bookmarkEnd w:id="179"/>
      <w:bookmarkEnd w:id="180"/>
      <w:bookmarkEnd w:id="181"/>
      <w:bookmarkEnd w:id="182"/>
      <w:bookmarkEnd w:id="183"/>
      <w:bookmarkEnd w:id="184"/>
      <w:bookmarkEnd w:id="185"/>
      <w:bookmarkEnd w:id="186"/>
      <w:bookmarkEnd w:id="187"/>
      <w:bookmarkEnd w:id="188"/>
      <w:bookmarkEnd w:id="189"/>
    </w:p>
    <w:bookmarkEnd w:id="21"/>
    <w:p>
      <w:pPr>
        <w:pStyle w:val="3"/>
        <w:spacing w:before="0" w:after="0" w:line="240" w:lineRule="auto"/>
        <w:rPr>
          <w:rFonts w:hint="eastAsia"/>
          <w:color w:val="auto"/>
          <w:sz w:val="28"/>
          <w:szCs w:val="28"/>
          <w:highlight w:val="none"/>
        </w:rPr>
      </w:pPr>
      <w:bookmarkStart w:id="192" w:name="_Toc3162"/>
      <w:bookmarkStart w:id="193" w:name="_Toc7011"/>
      <w:bookmarkStart w:id="194" w:name="_Toc31854"/>
      <w:r>
        <w:rPr>
          <w:rFonts w:hint="eastAsia"/>
          <w:color w:val="auto"/>
          <w:sz w:val="28"/>
          <w:szCs w:val="28"/>
          <w:highlight w:val="none"/>
        </w:rPr>
        <w:t>第</w:t>
      </w:r>
      <w:r>
        <w:rPr>
          <w:rFonts w:hint="eastAsia"/>
          <w:color w:val="auto"/>
          <w:sz w:val="28"/>
          <w:szCs w:val="28"/>
          <w:highlight w:val="none"/>
          <w:lang w:val="en-US" w:eastAsia="zh-CN"/>
        </w:rPr>
        <w:t>五</w:t>
      </w:r>
      <w:r>
        <w:rPr>
          <w:rFonts w:hint="eastAsia"/>
          <w:color w:val="auto"/>
          <w:sz w:val="28"/>
          <w:szCs w:val="28"/>
          <w:highlight w:val="none"/>
        </w:rPr>
        <w:t>部分 用户需求书</w:t>
      </w:r>
      <w:bookmarkEnd w:id="192"/>
      <w:bookmarkEnd w:id="193"/>
      <w:bookmarkEnd w:id="194"/>
    </w:p>
    <w:p>
      <w:pPr>
        <w:pStyle w:val="4"/>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95" w:name="_Toc31162"/>
      <w:r>
        <w:rPr>
          <w:rFonts w:hint="eastAsia" w:ascii="宋体" w:hAnsi="宋体"/>
          <w:color w:val="auto"/>
          <w:highlight w:val="none"/>
          <w:lang w:val="en-US" w:eastAsia="zh-CN"/>
        </w:rPr>
        <w:t>第一章 商务需求书</w:t>
      </w:r>
      <w:bookmarkEnd w:id="195"/>
    </w:p>
    <w:tbl>
      <w:tblPr>
        <w:tblStyle w:val="22"/>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完工期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Cs/>
                <w:color w:val="auto"/>
                <w:kern w:val="44"/>
                <w:sz w:val="21"/>
                <w:szCs w:val="21"/>
                <w:highlight w:val="none"/>
              </w:rPr>
              <w:t>自合同签订之日起</w:t>
            </w:r>
            <w:r>
              <w:rPr>
                <w:rFonts w:hint="eastAsia" w:ascii="宋体" w:hAnsi="宋体" w:eastAsia="宋体" w:cs="Times New Roman"/>
                <w:color w:val="auto"/>
                <w:sz w:val="21"/>
                <w:szCs w:val="21"/>
                <w:highlight w:val="none"/>
                <w:lang w:val="en-US" w:eastAsia="zh-CN"/>
              </w:rPr>
              <w:t>50个日历日完工</w:t>
            </w:r>
            <w:r>
              <w:rPr>
                <w:rFonts w:hint="eastAsia" w:ascii="宋体" w:hAnsi="宋体" w:eastAsia="宋体" w:cs="宋体"/>
                <w:bCs/>
                <w:color w:val="auto"/>
                <w:kern w:val="44"/>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48"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466" w:type="dxa"/>
            <w:vAlign w:val="center"/>
          </w:tcPr>
          <w:p>
            <w:pPr>
              <w:keepNext w:val="0"/>
              <w:keepLines w:val="0"/>
              <w:pageBreakBefore w:val="0"/>
              <w:widowControl/>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施工完成且验收合格后，施工方提供验收相关资料报横沥镇财政局完成结算财审和请款程序且开具符合规定的正式发票后，</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lang w:eastAsia="zh-CN"/>
              </w:rPr>
              <w:t>支付</w:t>
            </w:r>
            <w:r>
              <w:rPr>
                <w:rFonts w:hint="eastAsia" w:ascii="宋体" w:hAnsi="宋体" w:eastAsia="宋体" w:cs="宋体"/>
                <w:color w:val="auto"/>
                <w:sz w:val="21"/>
                <w:szCs w:val="21"/>
                <w:highlight w:val="none"/>
                <w:lang w:val="en-US" w:eastAsia="zh-CN"/>
              </w:rPr>
              <w:t>项目结算财审价</w:t>
            </w:r>
            <w:r>
              <w:rPr>
                <w:rFonts w:hint="eastAsia" w:ascii="宋体" w:hAnsi="宋体" w:eastAsia="宋体" w:cs="宋体"/>
                <w:color w:val="auto"/>
                <w:sz w:val="21"/>
                <w:szCs w:val="21"/>
                <w:highlight w:val="none"/>
                <w:lang w:eastAsia="zh-CN"/>
              </w:rPr>
              <w:t>的95%，质保期满壹年后施工方提交书面申请待采购人办理完相关请款程序后</w:t>
            </w:r>
            <w:r>
              <w:rPr>
                <w:rFonts w:hint="eastAsia" w:ascii="宋体" w:hAnsi="宋体" w:eastAsia="宋体" w:cs="宋体"/>
                <w:color w:val="auto"/>
                <w:sz w:val="21"/>
                <w:szCs w:val="21"/>
                <w:highlight w:val="none"/>
                <w:lang w:val="en-US" w:eastAsia="zh-CN"/>
              </w:rPr>
              <w:t>无息</w:t>
            </w:r>
            <w:r>
              <w:rPr>
                <w:rFonts w:hint="eastAsia" w:ascii="宋体" w:hAnsi="宋体" w:eastAsia="宋体" w:cs="宋体"/>
                <w:color w:val="auto"/>
                <w:sz w:val="21"/>
                <w:szCs w:val="21"/>
                <w:highlight w:val="none"/>
                <w:lang w:eastAsia="zh-CN"/>
              </w:rPr>
              <w:t>支付余下的5%</w:t>
            </w:r>
            <w:r>
              <w:rPr>
                <w:rFonts w:hint="eastAsia" w:ascii="宋体" w:hAnsi="宋体" w:eastAsia="宋体" w:cs="宋体"/>
                <w:color w:val="auto"/>
                <w:sz w:val="21"/>
                <w:szCs w:val="21"/>
                <w:highlight w:val="none"/>
                <w:lang w:val="en-US" w:eastAsia="zh-CN"/>
              </w:rPr>
              <w:t>款项</w:t>
            </w:r>
            <w:r>
              <w:rPr>
                <w:rFonts w:hint="eastAsia" w:ascii="宋体" w:hAnsi="宋体" w:eastAsia="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lang w:val="en-US" w:eastAsia="zh-CN"/>
              </w:rPr>
              <w:t>要求</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报价应包括本次招标所有服务内容的费用，包括人工、材料、机械设备使用费、措施费、税费以及合同实施过程中的不可预见费用等全部费用。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质保期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项目整体质保期为壹年。经采购人验收合格之日起进入质保期。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有效期</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w:t>
            </w:r>
            <w:r>
              <w:rPr>
                <w:rFonts w:hint="eastAsia" w:ascii="宋体" w:hAnsi="宋体" w:eastAsia="宋体" w:cs="宋体"/>
                <w:color w:val="auto"/>
                <w:sz w:val="21"/>
                <w:szCs w:val="21"/>
                <w:highlight w:val="none"/>
                <w:lang w:val="en-US" w:eastAsia="zh-CN"/>
              </w:rPr>
              <w:t>之</w:t>
            </w:r>
            <w:r>
              <w:rPr>
                <w:rFonts w:hint="eastAsia" w:ascii="宋体" w:hAnsi="宋体" w:eastAsia="宋体" w:cs="宋体"/>
                <w:color w:val="auto"/>
                <w:sz w:val="21"/>
                <w:szCs w:val="21"/>
                <w:highlight w:val="none"/>
              </w:rPr>
              <w:t>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71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合同条款</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实质响应合同各条款。</w:t>
            </w:r>
          </w:p>
        </w:tc>
      </w:tr>
    </w:tbl>
    <w:p>
      <w:pPr>
        <w:bidi w:val="0"/>
        <w:rPr>
          <w:rFonts w:hint="eastAsia"/>
          <w:color w:val="auto"/>
          <w:highlight w:val="none"/>
          <w:lang w:val="en-US" w:eastAsia="zh-CN"/>
        </w:rPr>
      </w:pPr>
    </w:p>
    <w:p>
      <w:pPr>
        <w:pStyle w:val="7"/>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pStyle w:val="8"/>
        <w:rPr>
          <w:rFonts w:hint="eastAsia"/>
          <w:color w:val="auto"/>
          <w:highlight w:val="none"/>
          <w:lang w:val="en-US" w:eastAsia="zh-CN"/>
        </w:rPr>
      </w:pPr>
    </w:p>
    <w:p>
      <w:pPr>
        <w:rPr>
          <w:rFonts w:hint="eastAsia"/>
          <w:color w:val="auto"/>
          <w:highlight w:val="none"/>
          <w:lang w:val="en-US" w:eastAsia="zh-CN"/>
        </w:rPr>
      </w:pPr>
    </w:p>
    <w:p>
      <w:pPr>
        <w:pStyle w:val="4"/>
        <w:keepNext/>
        <w:keepLines/>
        <w:pageBreakBefore w:val="0"/>
        <w:widowControl/>
        <w:numPr>
          <w:ilvl w:val="0"/>
          <w:numId w:val="20"/>
        </w:numPr>
        <w:kinsoku/>
        <w:wordWrap/>
        <w:overflowPunct/>
        <w:topLinePunct w:val="0"/>
        <w:autoSpaceDE/>
        <w:autoSpaceDN/>
        <w:bidi w:val="0"/>
        <w:adjustRightInd w:val="0"/>
        <w:snapToGrid w:val="0"/>
        <w:spacing w:before="0" w:after="0" w:line="360" w:lineRule="auto"/>
        <w:ind w:leftChars="0"/>
        <w:jc w:val="center"/>
        <w:textAlignment w:val="auto"/>
        <w:rPr>
          <w:rFonts w:hint="eastAsia" w:ascii="宋体" w:hAnsi="宋体"/>
          <w:color w:val="auto"/>
          <w:highlight w:val="none"/>
          <w:lang w:val="en-US" w:eastAsia="zh-CN"/>
        </w:rPr>
      </w:pPr>
      <w:bookmarkStart w:id="196" w:name="_Toc19981"/>
      <w:r>
        <w:rPr>
          <w:rFonts w:hint="eastAsia" w:ascii="宋体" w:hAnsi="宋体"/>
          <w:color w:val="auto"/>
          <w:highlight w:val="none"/>
          <w:lang w:val="en-US" w:eastAsia="zh-CN"/>
        </w:rPr>
        <w:t>技术需求书</w:t>
      </w:r>
      <w:bookmarkEnd w:id="196"/>
    </w:p>
    <w:p>
      <w:pPr>
        <w:numPr>
          <w:ilvl w:val="0"/>
          <w:numId w:val="0"/>
        </w:numPr>
        <w:rPr>
          <w:rFonts w:hint="default"/>
          <w:color w:val="auto"/>
          <w:highlight w:val="none"/>
          <w:lang w:val="en-US" w:eastAsia="zh-CN"/>
        </w:rPr>
      </w:pPr>
      <w:r>
        <w:rPr>
          <w:rFonts w:hint="eastAsia"/>
          <w:color w:val="auto"/>
          <w:highlight w:val="none"/>
          <w:lang w:val="en-US" w:eastAsia="zh-CN"/>
        </w:rPr>
        <w:t>一、工程量清单</w:t>
      </w:r>
    </w:p>
    <w:tbl>
      <w:tblPr>
        <w:tblStyle w:val="22"/>
        <w:tblW w:w="8184" w:type="dxa"/>
        <w:tblInd w:w="14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89"/>
        <w:gridCol w:w="1795"/>
        <w:gridCol w:w="3180"/>
        <w:gridCol w:w="1065"/>
        <w:gridCol w:w="14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6" w:hRule="atLeast"/>
        </w:trPr>
        <w:tc>
          <w:tcPr>
            <w:tcW w:w="689"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bookmarkStart w:id="197" w:name="_Toc31278"/>
            <w:bookmarkStart w:id="198" w:name="_Toc24679"/>
            <w:bookmarkStart w:id="199" w:name="_Toc13112"/>
            <w:bookmarkStart w:id="200" w:name="_Toc14462"/>
            <w:r>
              <w:rPr>
                <w:rFonts w:hint="eastAsia" w:ascii="宋体" w:hAnsi="宋体" w:eastAsia="宋体" w:cs="宋体"/>
                <w:color w:val="auto"/>
                <w:sz w:val="21"/>
                <w:szCs w:val="21"/>
              </w:rPr>
              <w:t>序号</w:t>
            </w:r>
          </w:p>
        </w:tc>
        <w:tc>
          <w:tcPr>
            <w:tcW w:w="179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3180"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项目特征描述</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4" w:hRule="atLeast"/>
        </w:trPr>
        <w:tc>
          <w:tcPr>
            <w:tcW w:w="68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689"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79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3180"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8"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刨除已有混凝土路面结构</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刨除已有混凝土路面结构</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厚度:5cm</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运距:10km</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m2</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16130.12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乳化沥青黏层油</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材料品种:乳化沥青</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喷油量:0.3-0.6L/m2</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m2</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16130.12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AC-13C细粒改性沥青混凝土</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沥青品种:AC-13C细粒改性沥青混凝土</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厚度:10cm</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m2</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16130.12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拆除大理石道牙石</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拆除需更换部分大理石道牙石</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运距：10km</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1767.5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78"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原路面开槽</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大理石道牙石部分原路面开槽</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厚度:15cm</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运距:10km</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m2</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518.15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79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安砌大理石道牙石</w:t>
            </w:r>
          </w:p>
        </w:tc>
        <w:tc>
          <w:tcPr>
            <w:tcW w:w="3180" w:type="dxa"/>
            <w:tcBorders>
              <w:top w:val="single" w:color="auto" w:sz="4" w:space="0"/>
              <w:left w:val="single" w:color="auto" w:sz="4" w:space="0"/>
              <w:bottom w:val="single" w:color="auto" w:sz="4" w:space="0"/>
              <w:right w:val="single" w:color="auto" w:sz="4" w:space="0"/>
            </w:tcBorders>
            <w:vAlign w:val="center"/>
          </w:tcPr>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材料:大理石道牙石</w:t>
            </w:r>
          </w:p>
          <w:p>
            <w:pPr>
              <w:bidi w:val="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尺寸:120mm×300mm×495 mm</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rPr>
            </w:pPr>
          </w:p>
          <w:p>
            <w:pPr>
              <w:bidi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2285.65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3" w:hRule="atLeast"/>
        </w:trPr>
        <w:tc>
          <w:tcPr>
            <w:tcW w:w="689"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975" w:type="dxa"/>
            <w:gridSpan w:val="2"/>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措施项目</w:t>
            </w:r>
          </w:p>
        </w:tc>
        <w:tc>
          <w:tcPr>
            <w:tcW w:w="106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1455" w:type="dxa"/>
            <w:tcBorders>
              <w:top w:val="single" w:color="auto" w:sz="4" w:space="0"/>
              <w:left w:val="single" w:color="auto" w:sz="4" w:space="0"/>
              <w:bottom w:val="single" w:color="auto" w:sz="4" w:space="0"/>
              <w:right w:val="single" w:color="auto" w:sz="4" w:space="0"/>
            </w:tcBorders>
            <w:vAlign w:val="center"/>
          </w:tcPr>
          <w:p>
            <w:pPr>
              <w:bidi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r>
    </w:tbl>
    <w:p>
      <w:pPr>
        <w:spacing w:after="0" w:line="360" w:lineRule="auto"/>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注：施工及其他要求详见图纸（报名时自带U盘拷贝）</w:t>
      </w:r>
    </w:p>
    <w:p>
      <w:pPr>
        <w:bidi w:val="0"/>
        <w:rPr>
          <w:rFonts w:hint="eastAsia"/>
          <w:color w:val="auto"/>
          <w:highlight w:val="none"/>
          <w:lang w:val="en-US" w:eastAsia="zh-CN"/>
        </w:rPr>
      </w:pPr>
    </w:p>
    <w:p>
      <w:pPr>
        <w:pStyle w:val="3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ascii="宋体" w:hAnsi="宋体" w:eastAsia="宋体"/>
          <w:b/>
          <w:color w:val="auto"/>
          <w:sz w:val="24"/>
          <w:highlight w:val="none"/>
        </w:rPr>
      </w:pPr>
      <w:r>
        <w:rPr>
          <w:rFonts w:hint="eastAsia" w:ascii="宋体" w:hAnsi="宋体"/>
          <w:b/>
          <w:color w:val="auto"/>
          <w:sz w:val="24"/>
          <w:highlight w:val="none"/>
          <w:lang w:val="en-US" w:eastAsia="zh-CN"/>
        </w:rPr>
        <w:t>二、其他要求</w:t>
      </w:r>
    </w:p>
    <w:p>
      <w:pPr>
        <w:spacing w:after="0" w:line="360" w:lineRule="auto"/>
        <w:ind w:firstLine="420" w:firstLineChars="200"/>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1、本项目的材料、设备、施工须达到现行中华人民共和国以及省、自治区、直辖市或行业的建设标准、规范的要求，成交单位必须按业主单位提供的施工图和采购文件中的工程量清单进行按时按行业规范施工。</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成交单位在施工过程中，必须按行业规范和当地交警部门的要求做好文明施工和施工安全措施，如因成交单位施工不当造成的人员及第三方财产损失的，由成交单位负经济赔偿的全部责任</w:t>
      </w:r>
      <w:r>
        <w:rPr>
          <w:rFonts w:hint="eastAsia" w:ascii="宋体" w:hAnsi="宋体" w:eastAsia="宋体" w:cs="Times New Roman"/>
          <w:color w:val="auto"/>
          <w:sz w:val="21"/>
          <w:szCs w:val="21"/>
          <w:highlight w:val="none"/>
        </w:rPr>
        <w:t>。</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rPr>
        <w:t>、项目过程中所产生的废弃材料（如废弃土方等）须由</w:t>
      </w:r>
      <w:r>
        <w:rPr>
          <w:rFonts w:hint="eastAsia" w:ascii="宋体" w:hAnsi="宋体" w:eastAsia="宋体" w:cs="Times New Roman"/>
          <w:color w:val="auto"/>
          <w:sz w:val="21"/>
          <w:szCs w:val="21"/>
          <w:highlight w:val="none"/>
          <w:lang w:val="en-US" w:eastAsia="zh-CN"/>
        </w:rPr>
        <w:t>成交单位</w:t>
      </w:r>
      <w:r>
        <w:rPr>
          <w:rFonts w:hint="eastAsia" w:ascii="宋体" w:hAnsi="宋体" w:eastAsia="宋体" w:cs="Times New Roman"/>
          <w:color w:val="auto"/>
          <w:sz w:val="21"/>
          <w:szCs w:val="21"/>
          <w:highlight w:val="none"/>
        </w:rPr>
        <w:t>按相关规定自行安排处理，采购方将不再另外支付相关费用。</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成交单位在进场施工前，负责做好施工计划和施工过程中车辆分流方案报当地交警部门审批，做好车辆与行人安全防范提示等标识，尽量减少施工过程对人流车流的影响。</w:t>
      </w:r>
    </w:p>
    <w:p>
      <w:pPr>
        <w:spacing w:after="0" w:line="360" w:lineRule="auto"/>
        <w:ind w:firstLine="420" w:firstLineChars="200"/>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、项目未尽事宜将在采购合同中另行约定，</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需无条件同意采购人基于为顺利完成本项目所提出的各项合理要求。</w:t>
      </w:r>
    </w:p>
    <w:p>
      <w:pPr>
        <w:bidi w:val="0"/>
        <w:rPr>
          <w:color w:val="auto"/>
          <w:highlight w:val="none"/>
        </w:rPr>
      </w:pPr>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w:t>
      </w:r>
      <w:r>
        <w:rPr>
          <w:rFonts w:hint="eastAsia" w:ascii="宋体" w:hAnsi="宋体" w:cs="Times New Roman"/>
          <w:b/>
          <w:bCs/>
          <w:color w:val="auto"/>
          <w:sz w:val="21"/>
          <w:szCs w:val="21"/>
          <w:highlight w:val="none"/>
          <w:lang w:eastAsia="zh-CN"/>
        </w:rPr>
        <w:t>磋商文件</w:t>
      </w:r>
      <w:r>
        <w:rPr>
          <w:rFonts w:hint="eastAsia" w:ascii="宋体" w:hAnsi="宋体" w:eastAsia="宋体" w:cs="Times New Roman"/>
          <w:b/>
          <w:bCs/>
          <w:color w:val="auto"/>
          <w:sz w:val="21"/>
          <w:szCs w:val="21"/>
          <w:highlight w:val="none"/>
        </w:rPr>
        <w:t>中 “★”条款的</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将作无效</w:t>
      </w:r>
      <w:r>
        <w:rPr>
          <w:rFonts w:hint="eastAsia" w:ascii="宋体" w:hAnsi="宋体" w:cs="Times New Roman"/>
          <w:b/>
          <w:bCs/>
          <w:color w:val="auto"/>
          <w:sz w:val="21"/>
          <w:szCs w:val="21"/>
          <w:highlight w:val="none"/>
          <w:lang w:eastAsia="zh-CN"/>
        </w:rPr>
        <w:t>响应文件</w:t>
      </w:r>
      <w:r>
        <w:rPr>
          <w:rFonts w:hint="eastAsia" w:ascii="宋体" w:hAnsi="宋体" w:eastAsia="宋体" w:cs="Times New Roman"/>
          <w:b/>
          <w:bCs/>
          <w:color w:val="auto"/>
          <w:sz w:val="21"/>
          <w:szCs w:val="21"/>
          <w:highlight w:val="none"/>
        </w:rPr>
        <w:t>处理。</w:t>
      </w:r>
      <w:bookmarkEnd w:id="197"/>
      <w:bookmarkEnd w:id="198"/>
      <w:bookmarkEnd w:id="199"/>
      <w:bookmarkEnd w:id="200"/>
      <w:bookmarkStart w:id="201" w:name="_Toc21448"/>
      <w:bookmarkStart w:id="202" w:name="_Toc12485"/>
    </w:p>
    <w:p>
      <w:pPr>
        <w:bidi w:val="0"/>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bidi w:val="0"/>
        <w:rPr>
          <w:rFonts w:hint="eastAsia"/>
          <w:color w:val="auto"/>
        </w:rPr>
      </w:pPr>
    </w:p>
    <w:p>
      <w:pPr>
        <w:rPr>
          <w:rFonts w:hint="eastAsia"/>
          <w:color w:val="auto"/>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rPr>
      </w:pPr>
    </w:p>
    <w:p>
      <w:pPr>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rPr>
          <w:rFonts w:hint="eastAsia"/>
          <w:color w:val="auto"/>
          <w:highlight w:val="none"/>
        </w:rPr>
      </w:pPr>
    </w:p>
    <w:p>
      <w:pPr>
        <w:bidi w:val="0"/>
        <w:rPr>
          <w:rFonts w:hint="eastAsia"/>
          <w:color w:val="auto"/>
        </w:rPr>
      </w:pPr>
    </w:p>
    <w:p>
      <w:pPr>
        <w:bidi w:val="0"/>
        <w:rPr>
          <w:rFonts w:hint="eastAsia"/>
          <w:color w:val="auto"/>
          <w:highlight w:val="none"/>
        </w:rPr>
      </w:pPr>
    </w:p>
    <w:p>
      <w:pPr>
        <w:bidi w:val="0"/>
        <w:rPr>
          <w:rFonts w:hint="eastAsia"/>
          <w:color w:val="auto"/>
        </w:rPr>
      </w:pPr>
    </w:p>
    <w:p>
      <w:pPr>
        <w:pStyle w:val="3"/>
        <w:spacing w:before="0" w:after="0" w:line="240" w:lineRule="auto"/>
        <w:rPr>
          <w:color w:val="auto"/>
          <w:sz w:val="28"/>
          <w:szCs w:val="28"/>
          <w:highlight w:val="none"/>
        </w:rPr>
      </w:pPr>
      <w:bookmarkStart w:id="203" w:name="_Toc17329"/>
      <w:r>
        <w:rPr>
          <w:rFonts w:hint="eastAsia"/>
          <w:color w:val="auto"/>
          <w:sz w:val="28"/>
          <w:szCs w:val="28"/>
          <w:highlight w:val="none"/>
        </w:rPr>
        <w:t>第</w:t>
      </w:r>
      <w:r>
        <w:rPr>
          <w:rFonts w:hint="eastAsia"/>
          <w:color w:val="auto"/>
          <w:sz w:val="28"/>
          <w:szCs w:val="28"/>
          <w:highlight w:val="none"/>
          <w:lang w:val="en-US" w:eastAsia="zh-CN"/>
        </w:rPr>
        <w:t>六</w:t>
      </w:r>
      <w:r>
        <w:rPr>
          <w:rFonts w:hint="eastAsia"/>
          <w:color w:val="auto"/>
          <w:sz w:val="28"/>
          <w:szCs w:val="28"/>
          <w:highlight w:val="none"/>
        </w:rPr>
        <w:t>部分 合同格式（仅供参考）</w:t>
      </w:r>
      <w:bookmarkEnd w:id="201"/>
      <w:bookmarkEnd w:id="202"/>
      <w:bookmarkEnd w:id="203"/>
      <w:bookmarkStart w:id="204" w:name="_Toc1534"/>
      <w:bookmarkStart w:id="205" w:name="_Toc21155"/>
      <w:bookmarkStart w:id="206" w:name="_Toc13430"/>
    </w:p>
    <w:p>
      <w:pPr>
        <w:pStyle w:val="4"/>
        <w:spacing w:before="0" w:after="0" w:line="240" w:lineRule="auto"/>
        <w:jc w:val="center"/>
        <w:rPr>
          <w:rFonts w:ascii="宋体" w:hAnsi="宋体" w:eastAsia="宋体" w:cs="宋体"/>
          <w:color w:val="auto"/>
          <w:highlight w:val="none"/>
        </w:rPr>
      </w:pPr>
      <w:bookmarkStart w:id="207" w:name="_Toc16730"/>
      <w:bookmarkStart w:id="208" w:name="_Toc19575"/>
      <w:bookmarkStart w:id="209" w:name="_Toc29470"/>
      <w:r>
        <w:rPr>
          <w:rFonts w:hint="eastAsia" w:ascii="宋体" w:hAnsi="宋体" w:eastAsia="宋体" w:cs="宋体"/>
          <w:color w:val="auto"/>
          <w:highlight w:val="none"/>
        </w:rPr>
        <w:t>合同格式</w:t>
      </w:r>
      <w:bookmarkEnd w:id="204"/>
      <w:bookmarkEnd w:id="205"/>
      <w:bookmarkEnd w:id="206"/>
      <w:bookmarkEnd w:id="207"/>
      <w:bookmarkEnd w:id="208"/>
      <w:bookmarkEnd w:id="209"/>
    </w:p>
    <w:p>
      <w:pPr>
        <w:widowControl/>
        <w:adjustRightInd w:val="0"/>
        <w:snapToGrid w:val="0"/>
        <w:spacing w:after="200" w:line="420" w:lineRule="atLeast"/>
        <w:ind w:right="56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合同编号：</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乙方：“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受甲方委托，</w:t>
      </w:r>
      <w:r>
        <w:rPr>
          <w:rFonts w:hint="eastAsia" w:ascii="宋体" w:hAnsi="宋体" w:eastAsia="宋体" w:cs="宋体"/>
          <w:color w:val="auto"/>
          <w:kern w:val="0"/>
          <w:sz w:val="21"/>
          <w:szCs w:val="21"/>
          <w:highlight w:val="none"/>
          <w:u w:val="single"/>
        </w:rPr>
        <w:t xml:space="preserve">           (采购代理机构)</w:t>
      </w:r>
      <w:r>
        <w:rPr>
          <w:rFonts w:hint="eastAsia" w:ascii="宋体" w:hAnsi="宋体" w:eastAsia="宋体" w:cs="宋体"/>
          <w:color w:val="auto"/>
          <w:kern w:val="0"/>
          <w:sz w:val="21"/>
          <w:szCs w:val="21"/>
          <w:highlight w:val="none"/>
        </w:rPr>
        <w:t>组织对</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采购项目（采购编号为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）进行采购，于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日通过磋商，经磋商小组评定乙方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1、项目名称：                              ；</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第三条 服务内容、标准及要求</w:t>
      </w:r>
    </w:p>
    <w:p>
      <w:pPr>
        <w:widowControl/>
        <w:adjustRightInd w:val="0"/>
        <w:snapToGrid w:val="0"/>
        <w:spacing w:line="360" w:lineRule="auto"/>
        <w:jc w:val="left"/>
        <w:rPr>
          <w:rFonts w:ascii="宋体" w:hAnsi="宋体" w:eastAsia="宋体" w:cs="宋体"/>
          <w:color w:val="auto"/>
          <w:sz w:val="21"/>
          <w:szCs w:val="21"/>
          <w:highlight w:val="none"/>
          <w:u w:val="single"/>
          <w:shd w:val="clear" w:color="auto" w:fill="FFFFFF"/>
        </w:rPr>
      </w:pPr>
      <w:r>
        <w:rPr>
          <w:rFonts w:hint="eastAsia" w:ascii="宋体" w:hAnsi="宋体" w:eastAsia="宋体" w:cs="宋体"/>
          <w:color w:val="auto"/>
          <w:kern w:val="0"/>
          <w:sz w:val="21"/>
          <w:szCs w:val="21"/>
          <w:highlight w:val="none"/>
          <w:shd w:val="clear" w:color="auto" w:fill="FFFFFF"/>
        </w:rPr>
        <w:t>1、采购内容：</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2、采购标准：</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3、采购要求：</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4、具体采购内容采购标准及要求以磋商文件用户需求书及乙方响应文件承诺条款及方案为准。</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2、合同总价：（人民币）大写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第五条 服务期限及地点</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1、服务期：  年，合同生效之日自       年  月  日至     年  月  日止。</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第六条 付款方式</w:t>
      </w:r>
    </w:p>
    <w:p>
      <w:pPr>
        <w:pStyle w:val="21"/>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1、本合同的付款方式为：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cs="宋体"/>
          <w:b/>
          <w:color w:val="auto"/>
          <w:sz w:val="21"/>
          <w:szCs w:val="21"/>
          <w:highlight w:val="none"/>
        </w:rPr>
      </w:pPr>
      <w:r>
        <w:rPr>
          <w:rFonts w:hint="eastAsia" w:ascii="宋体" w:hAnsi="宋体" w:eastAsia="宋体" w:cs="宋体"/>
          <w:b/>
          <w:color w:val="auto"/>
          <w:kern w:val="0"/>
          <w:sz w:val="21"/>
          <w:szCs w:val="21"/>
          <w:highlight w:val="none"/>
        </w:rPr>
        <w:t>第七条 竣工与验收</w:t>
      </w:r>
    </w:p>
    <w:p>
      <w:pPr>
        <w:pStyle w:val="21"/>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w:t>
      </w:r>
      <w:r>
        <w:rPr>
          <w:rFonts w:hint="eastAsia" w:ascii="宋体" w:hAnsi="宋体"/>
          <w:color w:val="auto"/>
          <w:sz w:val="21"/>
          <w:szCs w:val="21"/>
          <w:highlight w:val="none"/>
          <w:lang w:val="en-US" w:eastAsia="zh-CN"/>
        </w:rPr>
        <w:t>采购</w:t>
      </w:r>
      <w:r>
        <w:rPr>
          <w:rFonts w:hint="eastAsia" w:ascii="宋体" w:hAnsi="宋体"/>
          <w:color w:val="auto"/>
          <w:sz w:val="21"/>
          <w:szCs w:val="21"/>
          <w:highlight w:val="none"/>
        </w:rPr>
        <w:t>文件及本合同的有关规定制定的方案进行验收，并按国家有关规定、规范进行。</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w:t>
      </w:r>
      <w:r>
        <w:rPr>
          <w:rFonts w:hint="eastAsia" w:ascii="宋体" w:hAnsi="宋体" w:eastAsia="宋体" w:cs="Times New Roman"/>
          <w:color w:val="auto"/>
          <w:sz w:val="21"/>
          <w:szCs w:val="21"/>
          <w:highlight w:val="none"/>
        </w:rPr>
        <w:t>与验收。</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3、对验收不合格的部分，乙方应在甲方规定时间内及时整改完善直至合格。</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4、乙方</w:t>
      </w:r>
      <w:r>
        <w:rPr>
          <w:rFonts w:hint="eastAsia" w:ascii="宋体" w:hAnsi="宋体" w:eastAsia="宋体" w:cs="Times New Roman"/>
          <w:color w:val="auto"/>
          <w:sz w:val="21"/>
          <w:szCs w:val="21"/>
          <w:highlight w:val="none"/>
        </w:rPr>
        <w:t>保证向</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提供的所有设计文件均自主设计的，不存在知识产权方面的纠纷。</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5、乙方的</w:t>
      </w:r>
      <w:r>
        <w:rPr>
          <w:rFonts w:hint="eastAsia" w:ascii="宋体" w:hAnsi="宋体" w:eastAsia="宋体" w:cs="Times New Roman"/>
          <w:color w:val="auto"/>
          <w:sz w:val="21"/>
          <w:szCs w:val="21"/>
          <w:highlight w:val="none"/>
        </w:rPr>
        <w:t>设计文件应达到一定的高度、深度和广度，应严格按照</w:t>
      </w:r>
      <w:r>
        <w:rPr>
          <w:rFonts w:hint="eastAsia" w:ascii="宋体" w:hAnsi="宋体" w:eastAsia="宋体" w:cs="Times New Roman"/>
          <w:color w:val="auto"/>
          <w:sz w:val="21"/>
          <w:szCs w:val="21"/>
          <w:highlight w:val="none"/>
          <w:lang w:val="en-US" w:eastAsia="zh-CN"/>
        </w:rPr>
        <w:t>采购</w:t>
      </w:r>
      <w:r>
        <w:rPr>
          <w:rFonts w:hint="eastAsia" w:ascii="宋体" w:hAnsi="宋体" w:eastAsia="宋体" w:cs="Times New Roman"/>
          <w:color w:val="auto"/>
          <w:sz w:val="21"/>
          <w:szCs w:val="21"/>
          <w:highlight w:val="none"/>
        </w:rPr>
        <w:t>文件的内容、规模和要求进行设计。设计中必须贯彻 “完整性、统一性、先进性”和“经济、高效、安全”的基本原则，同时应充分考虑智慧道路路网的整体智慧需求及前沿技术的应用。</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6、</w:t>
      </w:r>
      <w:r>
        <w:rPr>
          <w:rFonts w:hint="eastAsia" w:ascii="宋体" w:hAnsi="宋体" w:eastAsia="宋体" w:cs="Times New Roman"/>
          <w:color w:val="auto"/>
          <w:sz w:val="21"/>
          <w:szCs w:val="21"/>
          <w:highlight w:val="none"/>
        </w:rPr>
        <w:t>设计中引用、套用国家和部颁相关专业的设计规范、标准及新的相关专业的技术标准和要求时，应准确引用和套用。</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7、</w:t>
      </w:r>
      <w:r>
        <w:rPr>
          <w:rFonts w:hint="eastAsia" w:ascii="宋体" w:hAnsi="宋体" w:eastAsia="宋体" w:cs="Times New Roman"/>
          <w:color w:val="auto"/>
          <w:sz w:val="21"/>
          <w:szCs w:val="21"/>
          <w:highlight w:val="none"/>
        </w:rPr>
        <w:t>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8、乙方的</w:t>
      </w:r>
      <w:r>
        <w:rPr>
          <w:rFonts w:hint="eastAsia" w:ascii="宋体" w:hAnsi="宋体" w:eastAsia="宋体" w:cs="Times New Roman"/>
          <w:color w:val="auto"/>
          <w:sz w:val="21"/>
          <w:szCs w:val="21"/>
          <w:highlight w:val="none"/>
        </w:rPr>
        <w:t>设计文件应对施工中的安全注意事项进行说明。</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9、乙方的</w:t>
      </w:r>
      <w:r>
        <w:rPr>
          <w:rFonts w:hint="eastAsia" w:ascii="宋体" w:hAnsi="宋体" w:eastAsia="宋体" w:cs="Times New Roman"/>
          <w:color w:val="auto"/>
          <w:sz w:val="21"/>
          <w:szCs w:val="21"/>
          <w:highlight w:val="none"/>
        </w:rPr>
        <w:t>设计文件的编印应符合规范化、标准化的要求，包括：设计说明书页张篇幅及各号图纸大小篇幅应符合国家标准规定尺寸；设计文件册的封面必须能表示出工程设计项目的全名、分册编号及工程名称。设计文件的分册由</w:t>
      </w:r>
      <w:r>
        <w:rPr>
          <w:rFonts w:hint="eastAsia" w:ascii="宋体" w:hAnsi="宋体" w:eastAsia="宋体" w:cs="Times New Roman"/>
          <w:color w:val="auto"/>
          <w:sz w:val="21"/>
          <w:szCs w:val="21"/>
          <w:highlight w:val="none"/>
          <w:lang w:val="en-US" w:eastAsia="zh-CN"/>
        </w:rPr>
        <w:t>甲乙双方</w:t>
      </w:r>
      <w:r>
        <w:rPr>
          <w:rFonts w:hint="eastAsia" w:ascii="宋体" w:hAnsi="宋体" w:eastAsia="宋体" w:cs="Times New Roman"/>
          <w:color w:val="auto"/>
          <w:sz w:val="21"/>
          <w:szCs w:val="21"/>
          <w:highlight w:val="none"/>
        </w:rPr>
        <w:t>协商后决定。</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10、乙方</w:t>
      </w:r>
      <w:r>
        <w:rPr>
          <w:rFonts w:hint="eastAsia" w:ascii="宋体" w:hAnsi="宋体" w:eastAsia="宋体" w:cs="Times New Roman"/>
          <w:color w:val="auto"/>
          <w:sz w:val="21"/>
          <w:szCs w:val="21"/>
          <w:highlight w:val="none"/>
        </w:rPr>
        <w:t>设计文件的编制和装订应利于</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归档保存及保养。</w:t>
      </w:r>
    </w:p>
    <w:p>
      <w:pPr>
        <w:pStyle w:val="21"/>
        <w:spacing w:line="360" w:lineRule="auto"/>
        <w:ind w:firstLine="48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11、</w:t>
      </w:r>
      <w:r>
        <w:rPr>
          <w:rFonts w:hint="eastAsia" w:ascii="宋体" w:hAnsi="宋体" w:eastAsia="宋体" w:cs="Times New Roman"/>
          <w:color w:val="auto"/>
          <w:sz w:val="21"/>
          <w:szCs w:val="21"/>
          <w:highlight w:val="none"/>
        </w:rPr>
        <w:t>接到设计任务后，按合同要求工期完成初步设计及施工图设计,并通过</w:t>
      </w:r>
      <w:r>
        <w:rPr>
          <w:rFonts w:hint="eastAsia" w:ascii="宋体" w:hAnsi="宋体" w:eastAsia="宋体" w:cs="Times New Roman"/>
          <w:color w:val="auto"/>
          <w:sz w:val="21"/>
          <w:szCs w:val="21"/>
          <w:highlight w:val="none"/>
          <w:lang w:val="en-US" w:eastAsia="zh-CN"/>
        </w:rPr>
        <w:t>甲方</w:t>
      </w:r>
      <w:r>
        <w:rPr>
          <w:rFonts w:hint="eastAsia" w:ascii="宋体" w:hAnsi="宋体" w:eastAsia="宋体" w:cs="Times New Roman"/>
          <w:color w:val="auto"/>
          <w:sz w:val="21"/>
          <w:szCs w:val="21"/>
          <w:highlight w:val="none"/>
        </w:rPr>
        <w:t>审核确认。</w:t>
      </w:r>
    </w:p>
    <w:p>
      <w:pPr>
        <w:widowControl/>
        <w:adjustRightInd w:val="0"/>
        <w:snapToGrid w:val="0"/>
        <w:spacing w:line="360" w:lineRule="auto"/>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2、由于乙方的原因，导致双方签订的合同终止，乙方因此而遭受的损失，将由乙方独立承担，甲方对此不负任何责任，也不作任何赔偿。</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第十二条 合同生效</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第十三条 其它</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本合同合计   页A4纸张，缺页之合同为无效合同。</w:t>
      </w:r>
    </w:p>
    <w:p>
      <w:pPr>
        <w:pStyle w:val="7"/>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甲方（盖章）：                      乙方（盖章）：</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法定代表(签字)：                   法定代表(签字)：</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地址：                             地址： </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电话：                             电话：</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传真：</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开户银行：</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账号：                             账号：</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签约时间：</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签约地点：</w:t>
      </w: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此仅为合同书样本，成交供应商需根据实际情况和甲方签订相应的合同！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210" w:name="_Toc23749"/>
      <w:bookmarkStart w:id="211" w:name="_Toc31587"/>
      <w:bookmarkStart w:id="212" w:name="_Toc15158"/>
      <w:r>
        <w:rPr>
          <w:rFonts w:hint="eastAsia"/>
          <w:color w:val="auto"/>
          <w:sz w:val="28"/>
          <w:szCs w:val="28"/>
          <w:highlight w:val="none"/>
        </w:rPr>
        <w:t>第</w:t>
      </w:r>
      <w:r>
        <w:rPr>
          <w:rFonts w:hint="eastAsia"/>
          <w:color w:val="auto"/>
          <w:sz w:val="28"/>
          <w:szCs w:val="28"/>
          <w:highlight w:val="none"/>
          <w:lang w:val="en-US" w:eastAsia="zh-CN"/>
        </w:rPr>
        <w:t>七</w:t>
      </w:r>
      <w:r>
        <w:rPr>
          <w:rFonts w:hint="eastAsia"/>
          <w:color w:val="auto"/>
          <w:sz w:val="28"/>
          <w:szCs w:val="28"/>
          <w:highlight w:val="none"/>
        </w:rPr>
        <w:t xml:space="preserve">部分  </w:t>
      </w:r>
      <w:r>
        <w:rPr>
          <w:rFonts w:hint="eastAsia"/>
          <w:color w:val="auto"/>
          <w:sz w:val="28"/>
          <w:szCs w:val="28"/>
          <w:highlight w:val="none"/>
          <w:lang w:eastAsia="zh-CN"/>
        </w:rPr>
        <w:t>响应文件</w:t>
      </w:r>
      <w:r>
        <w:rPr>
          <w:rFonts w:hint="eastAsia"/>
          <w:color w:val="auto"/>
          <w:sz w:val="28"/>
          <w:szCs w:val="28"/>
          <w:highlight w:val="none"/>
        </w:rPr>
        <w:t>格式</w:t>
      </w:r>
      <w:bookmarkEnd w:id="210"/>
      <w:bookmarkEnd w:id="211"/>
      <w:bookmarkEnd w:id="212"/>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3" w:name="_Toc6790"/>
      <w:bookmarkStart w:id="214" w:name="_Toc2434"/>
      <w:bookmarkStart w:id="215" w:name="_Toc26830"/>
      <w:r>
        <w:rPr>
          <w:rFonts w:hint="eastAsia"/>
          <w:color w:val="auto"/>
          <w:highlight w:val="none"/>
          <w:lang w:eastAsia="zh-CN"/>
        </w:rPr>
        <w:t>响应文件</w:t>
      </w:r>
      <w:r>
        <w:rPr>
          <w:rFonts w:hint="eastAsia"/>
          <w:color w:val="auto"/>
          <w:highlight w:val="none"/>
        </w:rPr>
        <w:t>目录</w:t>
      </w:r>
      <w:bookmarkEnd w:id="213"/>
      <w:bookmarkEnd w:id="214"/>
      <w:bookmarkEnd w:id="215"/>
    </w:p>
    <w:p>
      <w:pPr>
        <w:jc w:val="center"/>
        <w:rPr>
          <w:rFonts w:ascii="黑体" w:eastAsia="黑体"/>
          <w:color w:val="auto"/>
          <w:sz w:val="32"/>
          <w:szCs w:val="32"/>
          <w:highlight w:val="none"/>
        </w:rPr>
      </w:pPr>
    </w:p>
    <w:p>
      <w:pPr>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textAlignment w:val="auto"/>
        <w:rPr>
          <w:color w:val="auto"/>
          <w:highlight w:val="none"/>
        </w:rPr>
      </w:pPr>
      <w:bookmarkStart w:id="216" w:name="_Toc25502"/>
      <w:bookmarkStart w:id="217" w:name="_Toc28116"/>
      <w:bookmarkStart w:id="218" w:name="_Toc18893"/>
      <w:r>
        <w:rPr>
          <w:rFonts w:hint="eastAsia"/>
          <w:color w:val="auto"/>
          <w:highlight w:val="none"/>
        </w:rPr>
        <w:t>评分标准索引表</w:t>
      </w:r>
      <w:bookmarkEnd w:id="216"/>
      <w:bookmarkEnd w:id="217"/>
      <w:bookmarkEnd w:id="218"/>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2"/>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评分内容</w:t>
            </w:r>
          </w:p>
        </w:tc>
        <w:tc>
          <w:tcPr>
            <w:tcW w:w="5028"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评分细则</w:t>
            </w:r>
          </w:p>
        </w:tc>
        <w:tc>
          <w:tcPr>
            <w:tcW w:w="2126" w:type="dxa"/>
            <w:noWrap w:val="0"/>
            <w:vAlign w:val="center"/>
          </w:tcPr>
          <w:p>
            <w:pPr>
              <w:pStyle w:val="52"/>
              <w:keepNext w:val="0"/>
              <w:adjustRightInd/>
              <w:spacing w:before="0" w:after="0" w:line="240" w:lineRule="auto"/>
              <w:textAlignment w:val="auto"/>
              <w:rPr>
                <w:rFonts w:hint="eastAsia" w:ascii="宋体" w:hAnsi="宋体" w:eastAsia="宋体" w:cs="宋体"/>
                <w:b/>
                <w:bCs/>
                <w:snapToGrid/>
                <w:color w:val="auto"/>
                <w:spacing w:val="0"/>
                <w:kern w:val="2"/>
                <w:sz w:val="21"/>
                <w:szCs w:val="21"/>
                <w:highlight w:val="none"/>
                <w:lang w:val="en-US" w:eastAsia="zh-CN"/>
              </w:rPr>
            </w:pPr>
            <w:r>
              <w:rPr>
                <w:rFonts w:hint="eastAsia" w:ascii="宋体" w:hAnsi="宋体" w:eastAsia="宋体" w:cs="宋体"/>
                <w:b/>
                <w:bCs/>
                <w:snapToGrid/>
                <w:color w:val="auto"/>
                <w:spacing w:val="0"/>
                <w:kern w:val="2"/>
                <w:sz w:val="21"/>
                <w:szCs w:val="21"/>
                <w:highlight w:val="none"/>
                <w:lang w:val="en-US" w:eastAsia="zh-CN"/>
              </w:rPr>
              <w:t>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29"/>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noWrap w:val="0"/>
            <w:vAlign w:val="center"/>
          </w:tcPr>
          <w:p>
            <w:pPr>
              <w:pStyle w:val="17"/>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技术部分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noWrap w:val="0"/>
            <w:vAlign w:val="center"/>
          </w:tcPr>
          <w:p>
            <w:pPr>
              <w:pStyle w:val="29"/>
              <w:jc w:val="both"/>
              <w:rPr>
                <w:rFonts w:hint="eastAsia" w:ascii="宋体" w:hAnsi="宋体" w:eastAsia="宋体" w:cs="宋体"/>
                <w:color w:val="auto"/>
                <w:sz w:val="21"/>
                <w:szCs w:val="21"/>
                <w:highlight w:val="none"/>
              </w:rPr>
            </w:pPr>
          </w:p>
        </w:tc>
        <w:tc>
          <w:tcPr>
            <w:tcW w:w="5028" w:type="dxa"/>
            <w:noWrap w:val="0"/>
            <w:vAlign w:val="center"/>
          </w:tcPr>
          <w:p>
            <w:pPr>
              <w:pStyle w:val="29"/>
              <w:jc w:val="both"/>
              <w:rPr>
                <w:rFonts w:hint="eastAsia" w:ascii="宋体" w:hAnsi="宋体" w:eastAsia="宋体" w:cs="宋体"/>
                <w:color w:val="auto"/>
                <w:sz w:val="21"/>
                <w:szCs w:val="21"/>
                <w:highlight w:val="none"/>
              </w:rPr>
            </w:pPr>
          </w:p>
        </w:tc>
        <w:tc>
          <w:tcPr>
            <w:tcW w:w="2126" w:type="dxa"/>
            <w:noWrap w:val="0"/>
            <w:vAlign w:val="center"/>
          </w:tcPr>
          <w:p>
            <w:pPr>
              <w:pStyle w:val="17"/>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第（）页</w:t>
            </w: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21"/>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可按实际情况自行制订评分标准索引表。</w:t>
      </w:r>
    </w:p>
    <w:p>
      <w:pPr>
        <w:pStyle w:val="7"/>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219" w:name="_Toc19057"/>
      <w:bookmarkStart w:id="220" w:name="_Toc22080"/>
      <w:bookmarkStart w:id="221" w:name="_Toc30640"/>
      <w:r>
        <w:rPr>
          <w:rFonts w:hint="eastAsia"/>
          <w:color w:val="auto"/>
          <w:highlight w:val="none"/>
          <w:lang w:val="en-US" w:eastAsia="zh-CN"/>
        </w:rPr>
        <w:t>第一章价格文件</w:t>
      </w:r>
      <w:bookmarkEnd w:id="219"/>
      <w:bookmarkEnd w:id="220"/>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2" w:name="_Toc4168"/>
      <w:bookmarkStart w:id="223" w:name="_Toc29262"/>
      <w:r>
        <w:rPr>
          <w:rFonts w:hint="eastAsia"/>
          <w:color w:val="auto"/>
          <w:highlight w:val="none"/>
          <w:lang w:val="en-US" w:eastAsia="zh-CN"/>
        </w:rPr>
        <w:t>一、报价一览表</w:t>
      </w:r>
      <w:bookmarkEnd w:id="222"/>
      <w:bookmarkEnd w:id="223"/>
    </w:p>
    <w:p>
      <w:pPr>
        <w:spacing w:line="360" w:lineRule="auto"/>
        <w:rPr>
          <w:color w:val="auto"/>
          <w:highlight w:val="none"/>
        </w:rPr>
      </w:pPr>
    </w:p>
    <w:tbl>
      <w:tblPr>
        <w:tblStyle w:val="22"/>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w:t>
            </w:r>
          </w:p>
        </w:tc>
        <w:tc>
          <w:tcPr>
            <w:tcW w:w="3262"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tcBorders>
              <w:tl2br w:val="nil"/>
              <w:tr2bl w:val="nil"/>
            </w:tcBorders>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Borders>
              <w:tl2br w:val="nil"/>
              <w:tr2bl w:val="nil"/>
            </w:tcBorders>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w:t>
      </w:r>
      <w:r>
        <w:rPr>
          <w:rFonts w:hint="eastAsia" w:ascii="宋体" w:hAnsi="宋体"/>
          <w:color w:val="auto"/>
          <w:sz w:val="21"/>
          <w:szCs w:val="21"/>
          <w:highlight w:val="none"/>
          <w:lang w:eastAsia="zh-CN"/>
        </w:rPr>
        <w:t>响应</w:t>
      </w:r>
      <w:r>
        <w:rPr>
          <w:rFonts w:ascii="宋体" w:hAnsi="宋体" w:eastAsia="宋体"/>
          <w:color w:val="auto"/>
          <w:sz w:val="21"/>
          <w:szCs w:val="21"/>
          <w:highlight w:val="none"/>
        </w:rPr>
        <w:t>总价</w:t>
      </w:r>
      <w:r>
        <w:rPr>
          <w:rFonts w:hint="eastAsia" w:ascii="宋体" w:hAnsi="宋体" w:eastAsia="宋体"/>
          <w:color w:val="auto"/>
          <w:sz w:val="21"/>
          <w:szCs w:val="21"/>
          <w:highlight w:val="none"/>
        </w:rPr>
        <w:t>，报价保留小数点后两位。</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总价大小写不一致，以大写为准。</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总价必须准确唯一且应包含</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要求的所有费用。</w:t>
      </w:r>
    </w:p>
    <w:p>
      <w:pPr>
        <w:spacing w:after="0" w:line="360" w:lineRule="auto"/>
        <w:ind w:left="357"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须知的规定密封标记并与《授权委托书》、《</w:t>
      </w:r>
      <w:r>
        <w:rPr>
          <w:rFonts w:hint="eastAsia" w:ascii="宋体" w:hAnsi="宋体"/>
          <w:color w:val="auto"/>
          <w:sz w:val="21"/>
          <w:szCs w:val="21"/>
          <w:highlight w:val="none"/>
          <w:lang w:val="en-US" w:eastAsia="zh-CN"/>
        </w:rPr>
        <w:t>磋商</w:t>
      </w:r>
      <w:r>
        <w:rPr>
          <w:rFonts w:hint="eastAsia" w:ascii="宋体" w:hAnsi="宋体" w:eastAsia="宋体"/>
          <w:color w:val="auto"/>
          <w:sz w:val="21"/>
          <w:szCs w:val="21"/>
          <w:highlight w:val="none"/>
        </w:rPr>
        <w:t>保证金汇入情况说明》同密封单独提交。</w:t>
      </w:r>
    </w:p>
    <w:p>
      <w:pPr>
        <w:bidi w:val="0"/>
        <w:rPr>
          <w:rFonts w:hint="eastAsia"/>
          <w:color w:val="auto"/>
          <w:highlight w:val="none"/>
        </w:rPr>
      </w:pPr>
    </w:p>
    <w:p>
      <w:pPr>
        <w:pStyle w:val="7"/>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color w:val="auto"/>
          <w:highlight w:val="none"/>
        </w:rPr>
      </w:pPr>
    </w:p>
    <w:p>
      <w:pPr>
        <w:pStyle w:val="7"/>
        <w:rPr>
          <w:color w:val="auto"/>
          <w:highlight w:val="none"/>
        </w:rPr>
      </w:pPr>
    </w:p>
    <w:p>
      <w:pPr>
        <w:rPr>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4" w:name="_Toc29258"/>
      <w:bookmarkStart w:id="225" w:name="_Toc31062"/>
      <w:r>
        <w:rPr>
          <w:rFonts w:hint="eastAsia"/>
          <w:color w:val="auto"/>
          <w:highlight w:val="none"/>
          <w:lang w:val="en-US" w:eastAsia="zh-CN"/>
        </w:rPr>
        <w:t>二、报价明细表</w:t>
      </w:r>
      <w:bookmarkEnd w:id="224"/>
      <w:bookmarkEnd w:id="225"/>
    </w:p>
    <w:p>
      <w:pPr>
        <w:pStyle w:val="29"/>
        <w:keepNext w:val="0"/>
        <w:keepLines w:val="0"/>
        <w:pageBreakBefore w:val="0"/>
        <w:widowControl/>
        <w:kinsoku/>
        <w:wordWrap/>
        <w:overflowPunct/>
        <w:topLinePunct w:val="0"/>
        <w:autoSpaceDE/>
        <w:autoSpaceDN/>
        <w:bidi w:val="0"/>
        <w:adjustRightInd/>
        <w:snapToGrid w:val="0"/>
        <w:spacing w:before="0" w:after="0" w:line="360" w:lineRule="auto"/>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单位：元</w:t>
      </w:r>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72"/>
        <w:gridCol w:w="2059"/>
        <w:gridCol w:w="859"/>
        <w:gridCol w:w="996"/>
        <w:gridCol w:w="1076"/>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8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72"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服务名称</w:t>
            </w:r>
          </w:p>
        </w:tc>
        <w:tc>
          <w:tcPr>
            <w:tcW w:w="2059"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规格型号</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服务内容</w:t>
            </w: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076" w:type="dxa"/>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eastAsia"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82" w:type="dxa"/>
            <w:tcBorders>
              <w:tl2br w:val="nil"/>
              <w:tr2bl w:val="nil"/>
            </w:tcBorders>
            <w:vAlign w:val="center"/>
          </w:tcPr>
          <w:p>
            <w:pPr>
              <w:widowControl w:val="0"/>
              <w:adjustRightInd/>
              <w:snapToGrid/>
              <w:spacing w:before="100" w:beforeAutospacing="1" w:after="100" w:afterAutospacing="1"/>
              <w:jc w:val="center"/>
              <w:rPr>
                <w:rFonts w:hint="default" w:ascii="宋体" w:hAnsi="宋体" w:eastAsia="宋体"/>
                <w:color w:val="auto"/>
                <w:sz w:val="21"/>
                <w:szCs w:val="21"/>
                <w:highlight w:val="none"/>
                <w:lang w:val="en-US" w:eastAsia="zh-CN"/>
              </w:rPr>
            </w:pPr>
          </w:p>
        </w:tc>
        <w:tc>
          <w:tcPr>
            <w:tcW w:w="1772" w:type="dxa"/>
            <w:tcBorders>
              <w:tl2br w:val="nil"/>
              <w:tr2bl w:val="nil"/>
            </w:tcBorders>
            <w:vAlign w:val="center"/>
          </w:tcPr>
          <w:p>
            <w:pPr>
              <w:spacing w:before="100" w:beforeAutospacing="1" w:after="100" w:afterAutospacing="1"/>
              <w:rPr>
                <w:rFonts w:ascii="宋体" w:hAnsi="宋体" w:eastAsia="宋体"/>
                <w:color w:val="auto"/>
                <w:sz w:val="21"/>
                <w:szCs w:val="21"/>
                <w:highlight w:val="none"/>
              </w:rPr>
            </w:pPr>
          </w:p>
        </w:tc>
        <w:tc>
          <w:tcPr>
            <w:tcW w:w="20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859"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99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6"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368" w:type="dxa"/>
            <w:gridSpan w:val="5"/>
            <w:tcBorders>
              <w:tl2br w:val="nil"/>
              <w:tr2bl w:val="nil"/>
            </w:tcBorders>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合计</w:t>
            </w:r>
            <w:r>
              <w:rPr>
                <w:rFonts w:hint="eastAsia" w:ascii="宋体" w:hAnsi="宋体" w:eastAsia="宋体"/>
                <w:color w:val="auto"/>
                <w:sz w:val="21"/>
                <w:szCs w:val="21"/>
                <w:highlight w:val="none"/>
              </w:rPr>
              <w:t>总价</w:t>
            </w:r>
          </w:p>
        </w:tc>
        <w:tc>
          <w:tcPr>
            <w:tcW w:w="2154" w:type="dxa"/>
            <w:gridSpan w:val="2"/>
            <w:tcBorders>
              <w:tl2br w:val="nil"/>
              <w:tr2bl w:val="nil"/>
            </w:tcBorders>
            <w:vAlign w:val="center"/>
          </w:tcPr>
          <w:p>
            <w:pPr>
              <w:spacing w:before="100" w:beforeAutospacing="1" w:after="100" w:afterAutospacing="1"/>
              <w:jc w:val="center"/>
              <w:rPr>
                <w:rFonts w:ascii="宋体" w:hAnsi="宋体" w:eastAsia="宋体"/>
                <w:color w:val="auto"/>
                <w:sz w:val="21"/>
                <w:szCs w:val="21"/>
                <w:highlight w:val="none"/>
              </w:rPr>
            </w:pPr>
          </w:p>
        </w:tc>
      </w:tr>
    </w:tbl>
    <w:p>
      <w:pPr>
        <w:rPr>
          <w:rFonts w:ascii="宋体" w:hAnsi="宋体" w:eastAsia="宋体" w:cs="宋体"/>
          <w:b/>
          <w:color w:val="auto"/>
          <w:sz w:val="21"/>
          <w:szCs w:val="21"/>
          <w:highlight w:val="none"/>
        </w:rPr>
      </w:pPr>
    </w:p>
    <w:p>
      <w:pPr>
        <w:bidi w:val="0"/>
        <w:rPr>
          <w:color w:val="auto"/>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p>
      <w:pPr>
        <w:pStyle w:val="29"/>
        <w:rPr>
          <w:rFonts w:ascii="黑体" w:eastAsia="黑体"/>
          <w:color w:val="auto"/>
          <w:sz w:val="32"/>
          <w:szCs w:val="32"/>
          <w:highlight w:val="none"/>
        </w:rPr>
      </w:pPr>
    </w:p>
    <w:p>
      <w:pPr>
        <w:pStyle w:val="29"/>
        <w:rPr>
          <w:rFonts w:ascii="黑体" w:eastAsia="黑体"/>
          <w:color w:val="auto"/>
          <w:sz w:val="32"/>
          <w:szCs w:val="32"/>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6" w:name="_Toc14734"/>
      <w:bookmarkStart w:id="227" w:name="_Toc20974"/>
      <w:r>
        <w:rPr>
          <w:rFonts w:hint="eastAsia"/>
          <w:color w:val="auto"/>
          <w:highlight w:val="none"/>
          <w:lang w:val="en-US" w:eastAsia="zh-CN"/>
        </w:rPr>
        <w:t>三、小型或微型企业（货物/服务/承担的工程）明细表</w:t>
      </w:r>
      <w:bookmarkEnd w:id="226"/>
      <w:bookmarkEnd w:id="227"/>
    </w:p>
    <w:tbl>
      <w:tblPr>
        <w:tblStyle w:val="22"/>
        <w:tblW w:w="8460" w:type="dxa"/>
        <w:tblInd w:w="5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87"/>
        <w:gridCol w:w="1053"/>
        <w:gridCol w:w="1080"/>
        <w:gridCol w:w="850"/>
        <w:gridCol w:w="767"/>
        <w:gridCol w:w="767"/>
        <w:gridCol w:w="767"/>
        <w:gridCol w:w="7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053" w:type="dxa"/>
            <w:tcBorders>
              <w:tl2br w:val="nil"/>
              <w:tr2bl w:val="nil"/>
            </w:tcBorders>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850" w:type="dxa"/>
            <w:tcBorders>
              <w:tl2br w:val="nil"/>
              <w:tr2bl w:val="nil"/>
            </w:tcBorders>
            <w:vAlign w:val="center"/>
          </w:tcPr>
          <w:p>
            <w:pPr>
              <w:spacing w:after="0"/>
              <w:jc w:val="center"/>
              <w:textAlignment w:val="bottom"/>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制造商</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58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8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769"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2407"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53" w:type="dxa"/>
            <w:gridSpan w:val="7"/>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pStyle w:val="32"/>
        <w:spacing w:after="0" w:line="360" w:lineRule="auto"/>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bidi w:val="0"/>
        <w:rPr>
          <w:rFonts w:hint="eastAsia"/>
          <w:color w:val="auto"/>
          <w:highlight w:val="none"/>
        </w:rPr>
      </w:pPr>
    </w:p>
    <w:p>
      <w:pPr>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w:t>
      </w:r>
      <w:r>
        <w:rPr>
          <w:rFonts w:hint="eastAsia" w:ascii="宋体" w:hAnsi="宋体" w:eastAsia="宋体" w:cs="宋体"/>
          <w:b/>
          <w:color w:val="auto"/>
          <w:sz w:val="21"/>
          <w:szCs w:val="21"/>
          <w:highlight w:val="none"/>
        </w:rPr>
        <w:t>小型</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微型企业产品（货物</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服务</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承担的工程）的，必须在此表单独列明，否则在计算价格得分时不予以相应的扣除</w:t>
      </w:r>
      <w:r>
        <w:rPr>
          <w:rStyle w:val="42"/>
          <w:rFonts w:hint="eastAsia" w:ascii="宋体" w:hAnsi="宋体" w:eastAsia="宋体" w:cs="宋体"/>
          <w:b/>
          <w:color w:val="auto"/>
          <w:sz w:val="21"/>
          <w:szCs w:val="21"/>
          <w:highlight w:val="none"/>
        </w:rPr>
        <w:t>；</w:t>
      </w:r>
    </w:p>
    <w:p>
      <w:pPr>
        <w:pStyle w:val="32"/>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黑体" w:eastAsia="黑体"/>
          <w:color w:val="auto"/>
          <w:sz w:val="32"/>
          <w:szCs w:val="32"/>
          <w:highlight w:val="none"/>
        </w:rPr>
      </w:pPr>
      <w:r>
        <w:rPr>
          <w:rStyle w:val="42"/>
          <w:rFonts w:hint="eastAsia" w:ascii="宋体" w:hAnsi="宋体" w:eastAsia="宋体" w:cs="宋体"/>
          <w:b/>
          <w:color w:val="auto"/>
          <w:sz w:val="21"/>
          <w:szCs w:val="21"/>
          <w:highlight w:val="none"/>
        </w:rPr>
        <w:t>2、</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所投产品中无小型</w:t>
      </w:r>
      <w:r>
        <w:rPr>
          <w:rStyle w:val="42"/>
          <w:rFonts w:hint="eastAsia" w:ascii="宋体" w:hAnsi="宋体" w:eastAsia="宋体" w:cs="宋体"/>
          <w:b/>
          <w:color w:val="auto"/>
          <w:sz w:val="21"/>
          <w:szCs w:val="21"/>
          <w:highlight w:val="none"/>
          <w:lang w:val="en-US" w:eastAsia="zh-CN"/>
        </w:rPr>
        <w:t>或</w:t>
      </w:r>
      <w:r>
        <w:rPr>
          <w:rStyle w:val="42"/>
          <w:rFonts w:hint="eastAsia" w:ascii="宋体" w:hAnsi="宋体" w:eastAsia="宋体" w:cs="宋体"/>
          <w:b/>
          <w:color w:val="auto"/>
          <w:sz w:val="21"/>
          <w:szCs w:val="21"/>
          <w:highlight w:val="none"/>
        </w:rPr>
        <w:t>微型企业产品的，请留空或删除此表！</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28" w:name="_Toc16718"/>
      <w:bookmarkStart w:id="229" w:name="_Toc17483"/>
      <w:r>
        <w:rPr>
          <w:rFonts w:hint="eastAsia"/>
          <w:color w:val="auto"/>
          <w:highlight w:val="none"/>
          <w:lang w:val="en-US" w:eastAsia="zh-CN"/>
        </w:rPr>
        <w:t>四、节能产品或环境标志产品明细表</w:t>
      </w:r>
      <w:bookmarkEnd w:id="228"/>
      <w:bookmarkEnd w:id="229"/>
    </w:p>
    <w:tbl>
      <w:tblPr>
        <w:tblStyle w:val="22"/>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875"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81"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316"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67"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1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833"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c>
          <w:tcPr>
            <w:tcW w:w="1050" w:type="dxa"/>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2256" w:type="dxa"/>
            <w:gridSpan w:val="2"/>
            <w:tcBorders>
              <w:tl2br w:val="nil"/>
              <w:tr2bl w:val="nil"/>
            </w:tcBorders>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tcBorders>
              <w:tl2br w:val="nil"/>
              <w:tr2bl w:val="nil"/>
            </w:tcBorders>
            <w:vAlign w:val="center"/>
          </w:tcPr>
          <w:p>
            <w:pPr>
              <w:spacing w:after="0"/>
              <w:rPr>
                <w:rFonts w:ascii="宋体" w:hAnsi="宋体" w:eastAsia="宋体" w:cs="宋体"/>
                <w:color w:val="auto"/>
                <w:sz w:val="21"/>
                <w:szCs w:val="21"/>
                <w:highlight w:val="none"/>
              </w:rPr>
            </w:pPr>
          </w:p>
        </w:tc>
      </w:tr>
    </w:tbl>
    <w:p>
      <w:pPr>
        <w:spacing w:after="0"/>
        <w:rPr>
          <w:rFonts w:hint="eastAsia" w:ascii="宋体" w:hAnsi="宋体" w:eastAsia="宋体"/>
          <w:color w:val="auto"/>
          <w:sz w:val="21"/>
          <w:szCs w:val="21"/>
          <w:highlight w:val="none"/>
        </w:rPr>
      </w:pPr>
    </w:p>
    <w:p>
      <w:pPr>
        <w:spacing w:after="0"/>
        <w:rPr>
          <w:rFonts w:hint="eastAsia"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spacing w:after="0"/>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29"/>
        <w:rPr>
          <w:rFonts w:hint="eastAsia"/>
          <w:color w:val="auto"/>
          <w:highlight w:val="none"/>
        </w:rPr>
      </w:pPr>
    </w:p>
    <w:p>
      <w:pPr>
        <w:tabs>
          <w:tab w:val="left" w:pos="284"/>
        </w:tabs>
        <w:spacing w:after="0"/>
        <w:rPr>
          <w:rStyle w:val="42"/>
          <w:rFonts w:hint="eastAsia"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注：</w:t>
      </w:r>
    </w:p>
    <w:p>
      <w:pPr>
        <w:keepNext w:val="0"/>
        <w:keepLines w:val="0"/>
        <w:pageBreakBefore w:val="0"/>
        <w:widowControl/>
        <w:tabs>
          <w:tab w:val="left" w:pos="284"/>
        </w:tabs>
        <w:kinsoku/>
        <w:wordWrap/>
        <w:overflowPunct/>
        <w:topLinePunct w:val="0"/>
        <w:autoSpaceDE/>
        <w:autoSpaceDN/>
        <w:bidi w:val="0"/>
        <w:adjustRightInd w:val="0"/>
        <w:snapToGrid w:val="0"/>
        <w:spacing w:after="0"/>
        <w:ind w:firstLine="422" w:firstLineChars="200"/>
        <w:textAlignment w:val="auto"/>
        <w:rPr>
          <w:rStyle w:val="42"/>
          <w:rFonts w:ascii="宋体" w:hAnsi="宋体" w:eastAsia="宋体" w:cs="宋体"/>
          <w:b/>
          <w:color w:val="auto"/>
          <w:sz w:val="21"/>
          <w:szCs w:val="21"/>
          <w:highlight w:val="none"/>
        </w:rPr>
      </w:pPr>
      <w:r>
        <w:rPr>
          <w:rStyle w:val="42"/>
          <w:rFonts w:hint="eastAsia" w:ascii="宋体" w:hAnsi="宋体" w:eastAsia="宋体" w:cs="宋体"/>
          <w:b/>
          <w:color w:val="auto"/>
          <w:sz w:val="21"/>
          <w:szCs w:val="21"/>
          <w:highlight w:val="none"/>
        </w:rPr>
        <w:t>1、</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在“货物</w:t>
      </w:r>
      <w:r>
        <w:rPr>
          <w:rStyle w:val="42"/>
          <w:rFonts w:hint="eastAsia" w:ascii="宋体" w:hAnsi="宋体" w:eastAsia="宋体" w:cs="宋体"/>
          <w:b/>
          <w:color w:val="auto"/>
          <w:sz w:val="21"/>
          <w:szCs w:val="21"/>
          <w:highlight w:val="none"/>
          <w:lang w:val="en-US" w:eastAsia="zh-CN"/>
        </w:rPr>
        <w:t>/</w:t>
      </w:r>
      <w:r>
        <w:rPr>
          <w:rStyle w:val="42"/>
          <w:rFonts w:hint="eastAsia" w:ascii="宋体" w:hAnsi="宋体" w:eastAsia="宋体" w:cs="宋体"/>
          <w:b/>
          <w:color w:val="auto"/>
          <w:sz w:val="21"/>
          <w:szCs w:val="21"/>
          <w:highlight w:val="none"/>
        </w:rPr>
        <w:t>服务报价</w:t>
      </w:r>
      <w:r>
        <w:rPr>
          <w:rStyle w:val="42"/>
          <w:rFonts w:hint="eastAsia" w:ascii="宋体" w:hAnsi="宋体" w:eastAsia="宋体" w:cs="宋体"/>
          <w:b/>
          <w:color w:val="auto"/>
          <w:sz w:val="21"/>
          <w:szCs w:val="21"/>
          <w:highlight w:val="none"/>
          <w:lang w:val="en-US" w:eastAsia="zh-CN"/>
        </w:rPr>
        <w:t>明细</w:t>
      </w:r>
      <w:r>
        <w:rPr>
          <w:rStyle w:val="42"/>
          <w:rFonts w:hint="eastAsia" w:ascii="宋体" w:hAnsi="宋体" w:eastAsia="宋体" w:cs="宋体"/>
          <w:b/>
          <w:color w:val="auto"/>
          <w:sz w:val="21"/>
          <w:szCs w:val="21"/>
          <w:highlight w:val="none"/>
        </w:rPr>
        <w:t>表”中的报价内容中，如有属于节能产品或环境标志产的，必须在此表单独列明且提供相应的证明材料，否则在计算价格得分时不予以相应的扣除；</w:t>
      </w:r>
    </w:p>
    <w:p>
      <w:pPr>
        <w:keepNext w:val="0"/>
        <w:keepLines w:val="0"/>
        <w:pageBreakBefore w:val="0"/>
        <w:widowControl/>
        <w:kinsoku/>
        <w:wordWrap/>
        <w:overflowPunct/>
        <w:topLinePunct w:val="0"/>
        <w:autoSpaceDE/>
        <w:autoSpaceDN/>
        <w:bidi w:val="0"/>
        <w:adjustRightInd w:val="0"/>
        <w:snapToGrid w:val="0"/>
        <w:ind w:firstLine="422" w:firstLineChars="200"/>
        <w:textAlignment w:val="auto"/>
        <w:rPr>
          <w:rFonts w:ascii="微软雅黑" w:hAnsi="微软雅黑" w:cs="微软雅黑"/>
          <w:b/>
          <w:color w:val="auto"/>
          <w:sz w:val="28"/>
          <w:szCs w:val="28"/>
          <w:highlight w:val="none"/>
        </w:rPr>
      </w:pPr>
      <w:r>
        <w:rPr>
          <w:rStyle w:val="42"/>
          <w:rFonts w:hint="eastAsia" w:ascii="宋体" w:hAnsi="宋体" w:eastAsia="宋体" w:cs="宋体"/>
          <w:b/>
          <w:color w:val="auto"/>
          <w:sz w:val="21"/>
          <w:szCs w:val="21"/>
          <w:highlight w:val="none"/>
        </w:rPr>
        <w:t>2、</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应该如实填写，如</w:t>
      </w:r>
      <w:r>
        <w:rPr>
          <w:rStyle w:val="42"/>
          <w:rFonts w:hint="eastAsia" w:ascii="宋体" w:hAnsi="宋体" w:cs="宋体"/>
          <w:b/>
          <w:color w:val="auto"/>
          <w:sz w:val="21"/>
          <w:szCs w:val="21"/>
          <w:highlight w:val="none"/>
          <w:lang w:eastAsia="zh-CN"/>
        </w:rPr>
        <w:t>供应商</w:t>
      </w:r>
      <w:r>
        <w:rPr>
          <w:rStyle w:val="42"/>
          <w:rFonts w:hint="eastAsia" w:ascii="宋体" w:hAnsi="宋体" w:eastAsia="宋体" w:cs="宋体"/>
          <w:b/>
          <w:color w:val="auto"/>
          <w:sz w:val="21"/>
          <w:szCs w:val="21"/>
          <w:highlight w:val="none"/>
        </w:rPr>
        <w:t>所投产品中无节能或环保产品的，请留空或删除此表！</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0" w:name="_Toc10853"/>
      <w:bookmarkStart w:id="231" w:name="_Toc8170"/>
      <w:r>
        <w:rPr>
          <w:rFonts w:hint="eastAsia"/>
          <w:color w:val="auto"/>
          <w:highlight w:val="none"/>
          <w:lang w:val="en-US" w:eastAsia="zh-CN"/>
        </w:rPr>
        <w:t>五、中小企业声明函</w:t>
      </w:r>
      <w:bookmarkEnd w:id="230"/>
      <w:bookmarkEnd w:id="23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119"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keepNext w:val="0"/>
        <w:keepLines w:val="0"/>
        <w:pageBreakBefore w:val="0"/>
        <w:widowControl/>
        <w:kinsoku/>
        <w:wordWrap/>
        <w:overflowPunct/>
        <w:topLinePunct w:val="0"/>
        <w:autoSpaceDE/>
        <w:autoSpaceDN/>
        <w:bidi w:val="0"/>
        <w:adjustRightInd w:val="0"/>
        <w:snapToGrid w:val="0"/>
        <w:spacing w:after="0" w:line="48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中小企业声明函（工程、服务）</w:t>
      </w:r>
    </w:p>
    <w:p>
      <w:pPr>
        <w:keepNext w:val="0"/>
        <w:keepLines w:val="0"/>
        <w:pageBreakBefore w:val="0"/>
        <w:widowControl/>
        <w:kinsoku/>
        <w:wordWrap/>
        <w:overflowPunct/>
        <w:topLinePunct w:val="0"/>
        <w:autoSpaceDE/>
        <w:autoSpaceDN/>
        <w:bidi w:val="0"/>
        <w:adjustRightInd w:val="0"/>
        <w:snapToGrid w:val="0"/>
        <w:spacing w:line="360" w:lineRule="auto"/>
        <w:ind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8"/>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bidi w:val="0"/>
        <w:ind w:firstLine="420" w:firstLineChars="200"/>
        <w:rPr>
          <w:rFonts w:hint="eastAsia"/>
          <w:color w:val="auto"/>
          <w:highlight w:val="none"/>
          <w:lang w:val="en-US" w:eastAsia="zh-CN"/>
        </w:rPr>
      </w:pPr>
      <w:r>
        <w:rPr>
          <w:rFonts w:hint="eastAsia"/>
          <w:color w:val="auto"/>
          <w:highlight w:val="none"/>
          <w:lang w:val="en-US" w:eastAsia="zh-CN"/>
        </w:rPr>
        <w:t>以上企业，不属于大企业的分支机构，不存在控股股东为大企业的情形，也不存在与大企业的负责人为同一人的情形。</w:t>
      </w:r>
    </w:p>
    <w:p>
      <w:pPr>
        <w:bidi w:val="0"/>
        <w:ind w:firstLine="420" w:firstLineChars="200"/>
        <w:rPr>
          <w:rFonts w:hint="eastAsia"/>
          <w:color w:val="auto"/>
          <w:highlight w:val="none"/>
          <w:lang w:val="en-US" w:eastAsia="zh-CN"/>
        </w:rPr>
      </w:pPr>
      <w:r>
        <w:rPr>
          <w:rFonts w:hint="eastAsia"/>
          <w:color w:val="auto"/>
          <w:highlight w:val="none"/>
          <w:lang w:val="en-US" w:eastAsia="zh-CN"/>
        </w:rPr>
        <w:t>本企业对上诉声明内容的真实性负责。如有虚假，将依法承担相应责任。</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7"/>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7"/>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rPr>
          <w:rFonts w:hint="eastAsia" w:ascii="宋体" w:hAnsi="宋体" w:eastAsia="宋体"/>
          <w:b/>
          <w:bCs/>
          <w:color w:val="auto"/>
          <w:sz w:val="21"/>
          <w:szCs w:val="21"/>
          <w:highlight w:val="none"/>
          <w:lang w:val="en-US" w:eastAsia="zh-CN"/>
        </w:rPr>
      </w:pP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注：</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不属于规定的中小企业范围，或提供的产品不是中小企业制造的，则无需提供此表。</w:t>
      </w:r>
      <w:r>
        <w:rPr>
          <w:rFonts w:hint="eastAsia" w:ascii="宋体" w:hAnsi="宋体" w:eastAsia="宋体"/>
          <w:color w:val="auto"/>
          <w:sz w:val="21"/>
          <w:szCs w:val="21"/>
          <w:highlight w:val="none"/>
        </w:rPr>
        <w:br w:type="page"/>
      </w:r>
    </w:p>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说明</w:t>
      </w:r>
      <w:r>
        <w:rPr>
          <w:rFonts w:hint="eastAsia" w:ascii="宋体" w:hAnsi="宋体" w:eastAsia="宋体"/>
          <w:b/>
          <w:bCs/>
          <w:color w:val="auto"/>
          <w:sz w:val="21"/>
          <w:szCs w:val="21"/>
          <w:highlight w:val="none"/>
        </w:rPr>
        <w:t>：</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应根据</w:t>
      </w:r>
      <w:r>
        <w:rPr>
          <w:rFonts w:hint="eastAsia" w:ascii="宋体" w:hAnsi="宋体" w:eastAsia="宋体"/>
          <w:b/>
          <w:bCs/>
          <w:color w:val="auto"/>
          <w:sz w:val="21"/>
          <w:szCs w:val="21"/>
          <w:highlight w:val="none"/>
          <w:lang w:eastAsia="zh-CN"/>
        </w:rPr>
        <w:t>《政府采购促进中小企业发展管理办法》的通知（财库〔2020〕46号）</w:t>
      </w:r>
      <w:r>
        <w:rPr>
          <w:rFonts w:hint="eastAsia" w:ascii="宋体" w:hAnsi="宋体" w:eastAsia="宋体"/>
          <w:b/>
          <w:bCs/>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应该在《报价明细表》中单独列明属于小型和微型企业产品（货物、承担的工程或者服务）的报价，若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只提供《中小企业声明函》但未列明小型或微型企业产品的，在计算价格得分时不予以相应的扣除。</w:t>
      </w:r>
    </w:p>
    <w:p>
      <w:pPr>
        <w:rPr>
          <w:rFonts w:ascii="楷体_GB2312" w:eastAsia="楷体_GB2312"/>
          <w:color w:val="auto"/>
          <w:sz w:val="24"/>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32" w:name="_Toc312"/>
      <w:bookmarkStart w:id="233" w:name="_Toc8560"/>
      <w:r>
        <w:rPr>
          <w:rFonts w:hint="eastAsia"/>
          <w:color w:val="auto"/>
          <w:highlight w:val="none"/>
          <w:lang w:val="en-US" w:eastAsia="zh-CN"/>
        </w:rPr>
        <w:t>六、残疾人福利性单位声明函</w:t>
      </w:r>
      <w:bookmarkEnd w:id="232"/>
      <w:bookmarkEnd w:id="233"/>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单位名称（盖章）：</w:t>
      </w:r>
      <w:bookmarkStart w:id="234" w:name="_Toc20910"/>
      <w:bookmarkStart w:id="235" w:name="_Toc22970"/>
      <w:bookmarkStart w:id="236" w:name="_Toc509844825"/>
      <w:bookmarkStart w:id="237" w:name="_Toc30247"/>
      <w:bookmarkStart w:id="238" w:name="_Toc508958703"/>
      <w:bookmarkStart w:id="239" w:name="_Toc508898066"/>
      <w:bookmarkStart w:id="240" w:name="_Toc30277"/>
      <w:bookmarkStart w:id="241" w:name="_Toc508960153"/>
      <w:bookmarkStart w:id="242" w:name="_Toc509927455"/>
      <w:bookmarkStart w:id="243" w:name="_Toc510171693"/>
      <w:bookmarkStart w:id="244" w:name="_Toc509479530"/>
      <w:bookmarkStart w:id="245" w:name="_Toc1776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  期：</w:t>
      </w:r>
      <w:bookmarkEnd w:id="234"/>
      <w:bookmarkEnd w:id="235"/>
      <w:bookmarkEnd w:id="236"/>
      <w:bookmarkEnd w:id="237"/>
      <w:bookmarkEnd w:id="238"/>
      <w:bookmarkEnd w:id="239"/>
      <w:bookmarkEnd w:id="240"/>
      <w:bookmarkEnd w:id="241"/>
      <w:bookmarkEnd w:id="242"/>
      <w:bookmarkEnd w:id="243"/>
      <w:bookmarkEnd w:id="244"/>
      <w:bookmarkEnd w:id="245"/>
    </w:p>
    <w:p>
      <w:pPr>
        <w:pStyle w:val="7"/>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bookmarkStart w:id="246" w:name="_Toc5447"/>
      <w:bookmarkStart w:id="247" w:name="_Toc509927456"/>
      <w:bookmarkStart w:id="248" w:name="_Toc26216"/>
      <w:bookmarkStart w:id="249" w:name="_Toc509844826"/>
      <w:bookmarkStart w:id="250" w:name="_Toc509479531"/>
      <w:bookmarkStart w:id="251" w:name="_Toc21053"/>
      <w:bookmarkStart w:id="252" w:name="_Toc510171694"/>
      <w:bookmarkStart w:id="253" w:name="_Toc508960154"/>
      <w:bookmarkStart w:id="254" w:name="_Toc28527"/>
      <w:bookmarkStart w:id="255" w:name="_Toc31520"/>
      <w:bookmarkStart w:id="256" w:name="_Toc508958704"/>
      <w:bookmarkStart w:id="257" w:name="_Toc508898067"/>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（1）符合《财政部 民政部 中国残疾人联合会关于促进残疾人就业政府采购政策的通知》（财库〔2017〕 141号）规定条件的残疾人福利性单位应当提供《残疾人福利性单位声明函》。</w:t>
      </w:r>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58" w:name="_Toc508958705"/>
      <w:bookmarkStart w:id="259" w:name="_Toc28626"/>
      <w:bookmarkStart w:id="260" w:name="_Toc510171695"/>
      <w:bookmarkStart w:id="261" w:name="_Toc24848"/>
      <w:bookmarkStart w:id="262" w:name="_Toc508898068"/>
      <w:bookmarkStart w:id="263" w:name="_Toc508960155"/>
      <w:bookmarkStart w:id="264" w:name="_Toc9148"/>
      <w:bookmarkStart w:id="265" w:name="_Toc509479532"/>
      <w:bookmarkStart w:id="266" w:name="_Toc509927457"/>
      <w:bookmarkStart w:id="267" w:name="_Toc28126"/>
      <w:bookmarkStart w:id="268" w:name="_Toc509844827"/>
      <w:bookmarkStart w:id="269" w:name="_Toc14653"/>
      <w:r>
        <w:rPr>
          <w:rFonts w:hint="eastAsia" w:ascii="宋体" w:hAnsi="宋体" w:eastAsia="宋体"/>
          <w:color w:val="auto"/>
          <w:sz w:val="21"/>
          <w:szCs w:val="21"/>
          <w:highlight w:val="none"/>
        </w:rPr>
        <w:t>（2）</w:t>
      </w:r>
      <w:r>
        <w:rPr>
          <w:rFonts w:hint="eastAsia" w:ascii="宋体" w:hAnsi="宋体"/>
          <w:color w:val="auto"/>
          <w:sz w:val="21"/>
          <w:szCs w:val="21"/>
          <w:highlight w:val="none"/>
          <w:lang w:eastAsia="zh-CN"/>
        </w:rPr>
        <w:t>成交人</w:t>
      </w:r>
      <w:r>
        <w:rPr>
          <w:rFonts w:hint="eastAsia" w:ascii="宋体" w:hAnsi="宋体" w:eastAsia="宋体"/>
          <w:color w:val="auto"/>
          <w:sz w:val="21"/>
          <w:szCs w:val="21"/>
          <w:highlight w:val="none"/>
        </w:rPr>
        <w:t>为残疾人福利性单位的，采购代理机构将随中标结果同时公告其《残疾人福利性单位声明函》，接受社会监督。</w:t>
      </w:r>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70" w:name="_Toc508898069"/>
      <w:bookmarkStart w:id="271" w:name="_Toc22981"/>
      <w:bookmarkStart w:id="272" w:name="_Toc508960156"/>
      <w:bookmarkStart w:id="273" w:name="_Toc7858"/>
      <w:bookmarkStart w:id="274" w:name="_Toc28044"/>
      <w:bookmarkStart w:id="275" w:name="_Toc509844828"/>
      <w:bookmarkStart w:id="276" w:name="_Toc9837"/>
      <w:bookmarkStart w:id="277" w:name="_Toc509927458"/>
      <w:bookmarkStart w:id="278" w:name="_Toc28686"/>
      <w:bookmarkStart w:id="279" w:name="_Toc509479533"/>
      <w:bookmarkStart w:id="280" w:name="_Toc508958706"/>
      <w:bookmarkStart w:id="281" w:name="_Toc510171696"/>
      <w:r>
        <w:rPr>
          <w:rFonts w:hint="eastAsia" w:ascii="宋体" w:hAnsi="宋体" w:eastAsia="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提供的《残疾人福利性单位声明函》与事实不符的，依照《政府采购法》第七十七条第一款的规定追究法律责任。</w:t>
      </w:r>
      <w:bookmarkEnd w:id="270"/>
      <w:bookmarkEnd w:id="271"/>
      <w:bookmarkEnd w:id="272"/>
      <w:bookmarkEnd w:id="273"/>
      <w:bookmarkEnd w:id="274"/>
      <w:bookmarkEnd w:id="275"/>
      <w:bookmarkEnd w:id="276"/>
      <w:bookmarkEnd w:id="277"/>
      <w:bookmarkEnd w:id="278"/>
      <w:bookmarkEnd w:id="279"/>
      <w:bookmarkEnd w:id="280"/>
      <w:bookmarkEnd w:id="281"/>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bookmarkStart w:id="282" w:name="_Toc510171697"/>
      <w:bookmarkStart w:id="283" w:name="_Toc508898070"/>
      <w:bookmarkStart w:id="284" w:name="_Toc508958707"/>
      <w:bookmarkStart w:id="285" w:name="_Toc18843"/>
      <w:bookmarkStart w:id="286" w:name="_Toc509479534"/>
      <w:bookmarkStart w:id="287" w:name="_Toc509844829"/>
      <w:bookmarkStart w:id="288" w:name="_Toc508960157"/>
      <w:bookmarkStart w:id="289" w:name="_Toc5289"/>
      <w:bookmarkStart w:id="290" w:name="_Toc509927459"/>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82"/>
      <w:bookmarkEnd w:id="283"/>
      <w:bookmarkEnd w:id="284"/>
      <w:bookmarkEnd w:id="285"/>
      <w:bookmarkEnd w:id="286"/>
      <w:bookmarkEnd w:id="287"/>
      <w:bookmarkEnd w:id="288"/>
      <w:bookmarkEnd w:id="289"/>
      <w:bookmarkEnd w:id="290"/>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不属于规定的残疾人福利性单位，或提供的产品不是残疾人福利单位制造的，则无需提供此表。</w:t>
      </w:r>
    </w:p>
    <w:p>
      <w:pPr>
        <w:adjustRightInd/>
        <w:snapToGrid/>
        <w:spacing w:line="276" w:lineRule="auto"/>
        <w:rPr>
          <w:color w:val="auto"/>
          <w:highlight w:val="none"/>
        </w:rPr>
      </w:pPr>
      <w:r>
        <w:rPr>
          <w:rFonts w:hint="eastAsia" w:ascii="宋体" w:hAnsi="宋体" w:eastAsia="宋体"/>
          <w:bCs/>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291" w:name="_Toc23948"/>
      <w:bookmarkStart w:id="292" w:name="_Toc2486"/>
      <w:r>
        <w:rPr>
          <w:rFonts w:hint="eastAsia"/>
          <w:color w:val="auto"/>
          <w:highlight w:val="none"/>
          <w:lang w:val="en-US" w:eastAsia="zh-CN"/>
        </w:rPr>
        <w:t>第二章商务文件</w:t>
      </w:r>
      <w:bookmarkEnd w:id="291"/>
      <w:bookmarkEnd w:id="292"/>
    </w:p>
    <w:bookmarkEnd w:id="221"/>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3" w:name="_Toc23787"/>
      <w:bookmarkStart w:id="294" w:name="_Toc4151"/>
      <w:r>
        <w:rPr>
          <w:rFonts w:hint="eastAsia"/>
          <w:color w:val="auto"/>
          <w:highlight w:val="none"/>
          <w:lang w:val="en-US" w:eastAsia="zh-CN"/>
        </w:rPr>
        <w:t>一、响应函</w:t>
      </w:r>
      <w:bookmarkEnd w:id="293"/>
      <w:bookmarkEnd w:id="294"/>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spacing w:after="0" w:line="360" w:lineRule="auto"/>
        <w:rPr>
          <w:rFonts w:ascii="宋体" w:hAnsi="宋体" w:eastAsia="宋体"/>
          <w:color w:val="auto"/>
          <w:sz w:val="21"/>
          <w:szCs w:val="21"/>
          <w:highlight w:val="none"/>
        </w:rPr>
      </w:pP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eastAsia="宋体" w:cs="宋体"/>
          <w:color w:val="auto"/>
          <w:sz w:val="22"/>
          <w:szCs w:val="22"/>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u w:val="single"/>
        </w:rPr>
        <w:t>（</w:t>
      </w:r>
      <w:r>
        <w:rPr>
          <w:rFonts w:hint="eastAsia" w:ascii="宋体" w:hAnsi="宋体"/>
          <w:color w:val="auto"/>
          <w:sz w:val="21"/>
          <w:szCs w:val="21"/>
          <w:highlight w:val="none"/>
          <w:u w:val="single"/>
          <w:lang w:eastAsia="zh-CN"/>
        </w:rPr>
        <w:t>供应商</w:t>
      </w:r>
      <w:r>
        <w:rPr>
          <w:rFonts w:hint="eastAsia" w:ascii="宋体" w:hAnsi="宋体" w:eastAsia="宋体"/>
          <w:color w:val="auto"/>
          <w:sz w:val="21"/>
          <w:szCs w:val="21"/>
          <w:highlight w:val="none"/>
          <w:u w:val="single"/>
        </w:rPr>
        <w:t>名称、地址）</w:t>
      </w:r>
      <w:r>
        <w:rPr>
          <w:rFonts w:hint="eastAsia" w:ascii="宋体" w:eastAsia="宋体" w:cs="宋体"/>
          <w:color w:val="auto"/>
          <w:sz w:val="22"/>
          <w:szCs w:val="22"/>
          <w:highlight w:val="none"/>
        </w:rPr>
        <w:t>进行有关本次</w:t>
      </w:r>
      <w:r>
        <w:rPr>
          <w:rFonts w:hint="eastAsia" w:ascii="宋体" w:cs="宋体"/>
          <w:color w:val="auto"/>
          <w:sz w:val="22"/>
          <w:szCs w:val="22"/>
          <w:highlight w:val="none"/>
          <w:lang w:eastAsia="zh-CN"/>
        </w:rPr>
        <w:t>磋商</w:t>
      </w:r>
      <w:r>
        <w:rPr>
          <w:rFonts w:hint="eastAsia" w:ascii="宋体" w:eastAsia="宋体" w:cs="宋体"/>
          <w:color w:val="auto"/>
          <w:sz w:val="22"/>
          <w:szCs w:val="22"/>
          <w:highlight w:val="none"/>
        </w:rPr>
        <w:t>的一切事宜。</w:t>
      </w:r>
    </w:p>
    <w:p>
      <w:pPr>
        <w:keepNext w:val="0"/>
        <w:keepLines w:val="0"/>
        <w:pageBreakBefore w:val="0"/>
        <w:kinsoku/>
        <w:wordWrap/>
        <w:overflowPunct/>
        <w:topLinePunct w:val="0"/>
        <w:autoSpaceDE/>
        <w:autoSpaceDN/>
        <w:bidi w:val="0"/>
        <w:spacing w:after="0" w:line="360" w:lineRule="auto"/>
        <w:ind w:firstLine="440" w:firstLineChars="200"/>
        <w:textAlignment w:val="auto"/>
        <w:rPr>
          <w:rFonts w:ascii="宋体" w:hAnsi="宋体" w:eastAsia="宋体"/>
          <w:color w:val="auto"/>
          <w:sz w:val="21"/>
          <w:szCs w:val="21"/>
          <w:highlight w:val="none"/>
        </w:rPr>
      </w:pPr>
      <w:r>
        <w:rPr>
          <w:rFonts w:hint="eastAsia" w:ascii="宋体" w:eastAsia="宋体" w:cs="宋体"/>
          <w:color w:val="auto"/>
          <w:sz w:val="22"/>
          <w:szCs w:val="22"/>
          <w:highlight w:val="none"/>
        </w:rPr>
        <w:t>在此提交的</w:t>
      </w:r>
      <w:r>
        <w:rPr>
          <w:rFonts w:hint="eastAsia" w:ascii="宋体" w:cs="宋体"/>
          <w:color w:val="auto"/>
          <w:sz w:val="22"/>
          <w:szCs w:val="22"/>
          <w:highlight w:val="none"/>
          <w:lang w:eastAsia="zh-CN"/>
        </w:rPr>
        <w:t>响应文件</w:t>
      </w:r>
      <w:r>
        <w:rPr>
          <w:rFonts w:hint="eastAsia" w:ascii="宋体" w:eastAsia="宋体" w:cs="宋体"/>
          <w:color w:val="auto"/>
          <w:sz w:val="22"/>
          <w:szCs w:val="22"/>
          <w:highlight w:val="none"/>
        </w:rPr>
        <w:t>，正本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套，副本</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套，</w:t>
      </w:r>
      <w:r>
        <w:rPr>
          <w:rFonts w:hint="eastAsia" w:ascii="宋体" w:cs="宋体"/>
          <w:color w:val="auto"/>
          <w:sz w:val="22"/>
          <w:szCs w:val="22"/>
          <w:highlight w:val="none"/>
          <w:lang w:eastAsia="zh-CN"/>
        </w:rPr>
        <w:t>报价</w:t>
      </w:r>
      <w:r>
        <w:rPr>
          <w:rFonts w:hint="eastAsia" w:ascii="宋体" w:eastAsia="宋体" w:cs="宋体"/>
          <w:color w:val="auto"/>
          <w:sz w:val="22"/>
          <w:szCs w:val="22"/>
          <w:highlight w:val="none"/>
        </w:rPr>
        <w:t>信封及电子文件各1份。</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ascii="新宋体" w:hAnsi="新宋体" w:eastAsia="新宋体"/>
          <w:color w:val="auto"/>
          <w:sz w:val="22"/>
          <w:highlight w:val="none"/>
          <w:lang w:val="zh-CN"/>
        </w:rPr>
      </w:pPr>
      <w:r>
        <w:rPr>
          <w:rFonts w:hint="eastAsia" w:ascii="新宋体" w:hAnsi="新宋体" w:eastAsia="新宋体"/>
          <w:color w:val="auto"/>
          <w:sz w:val="22"/>
          <w:highlight w:val="none"/>
          <w:lang w:val="zh-CN"/>
        </w:rPr>
        <w:t>我方</w:t>
      </w:r>
      <w:r>
        <w:rPr>
          <w:rFonts w:hint="eastAsia" w:ascii="新宋体" w:hAnsi="新宋体" w:eastAsia="新宋体"/>
          <w:color w:val="auto"/>
          <w:sz w:val="22"/>
          <w:highlight w:val="none"/>
          <w:lang w:val="en-US" w:eastAsia="zh-CN"/>
        </w:rPr>
        <w:t>已</w:t>
      </w:r>
      <w:r>
        <w:rPr>
          <w:rFonts w:hint="eastAsia" w:ascii="新宋体" w:hAnsi="新宋体" w:eastAsia="新宋体"/>
          <w:color w:val="auto"/>
          <w:sz w:val="22"/>
          <w:highlight w:val="none"/>
          <w:lang w:val="zh-CN"/>
        </w:rPr>
        <w:t>完全明白磋商文件的所有条款要求，并重申以下几点：</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我方将按</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 xml:space="preserve">的规定履行合同责任和义务。 </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color w:val="auto"/>
          <w:sz w:val="21"/>
          <w:szCs w:val="21"/>
          <w:highlight w:val="none"/>
          <w:lang w:eastAsia="zh-CN"/>
        </w:rPr>
        <w:t>响应</w:t>
      </w:r>
      <w:r>
        <w:rPr>
          <w:rFonts w:hint="eastAsia" w:ascii="宋体" w:hAnsi="宋体" w:eastAsia="宋体"/>
          <w:color w:val="auto"/>
          <w:sz w:val="21"/>
          <w:szCs w:val="21"/>
          <w:highlight w:val="none"/>
        </w:rPr>
        <w:t>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个日历日。</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本公司同意按照贵公司可能提出的要求而提供与</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有关的任何其它数据、信息或资料。</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须知中关于没收</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保证金的规定。</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本公司如果中标，将保证履行</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及其澄清、修改文件（如果有）中的全部责任和义务，按质、按量、按期完成《采购需求书》及《合同书》中的全部任务。</w:t>
      </w:r>
    </w:p>
    <w:p>
      <w:pPr>
        <w:keepNext w:val="0"/>
        <w:keepLines w:val="0"/>
        <w:pageBreakBefore w:val="0"/>
        <w:widowControl w:val="0"/>
        <w:numPr>
          <w:ilvl w:val="0"/>
          <w:numId w:val="22"/>
        </w:numPr>
        <w:kinsoku/>
        <w:wordWrap/>
        <w:overflowPunct/>
        <w:topLinePunct w:val="0"/>
        <w:autoSpaceDE/>
        <w:autoSpaceDN/>
        <w:bidi w:val="0"/>
        <w:adjustRightInd/>
        <w:snapToGrid/>
        <w:spacing w:after="0" w:line="360" w:lineRule="auto"/>
        <w:ind w:firstLine="420" w:firstLineChars="200"/>
        <w:jc w:val="both"/>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与本</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有关的一切正式信函请寄：</w:t>
      </w:r>
    </w:p>
    <w:p>
      <w:pPr>
        <w:spacing w:after="0" w:line="360" w:lineRule="auto"/>
        <w:rPr>
          <w:rFonts w:hint="eastAsia" w:ascii="宋体" w:hAnsi="宋体" w:eastAsia="宋体"/>
          <w:color w:val="auto"/>
          <w:sz w:val="21"/>
          <w:szCs w:val="21"/>
          <w:highlight w:val="none"/>
        </w:rPr>
      </w:pP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邮箱</w:t>
      </w:r>
      <w:r>
        <w:rPr>
          <w:rFonts w:hint="eastAsia" w:ascii="宋体" w:hAnsi="宋体" w:eastAsia="宋体"/>
          <w:color w:val="auto"/>
          <w:sz w:val="21"/>
          <w:szCs w:val="21"/>
          <w:highlight w:val="none"/>
        </w:rPr>
        <w:t>：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 xml:space="preserve">代表签字： </w:t>
      </w:r>
      <w:r>
        <w:rPr>
          <w:rFonts w:hint="eastAsia" w:ascii="宋体" w:hAnsi="宋体" w:eastAsia="宋体"/>
          <w:color w:val="auto"/>
          <w:sz w:val="21"/>
          <w:szCs w:val="21"/>
          <w:highlight w:val="none"/>
          <w:lang w:val="en-US" w:eastAsia="zh-CN"/>
        </w:rPr>
        <w:t xml:space="preserve">                   </w:t>
      </w:r>
    </w:p>
    <w:p>
      <w:pPr>
        <w:spacing w:after="0" w:line="360" w:lineRule="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lang w:eastAsia="zh-CN"/>
        </w:rPr>
        <w:t>名称（加盖公章）</w:t>
      </w:r>
      <w:r>
        <w:rPr>
          <w:rFonts w:hint="eastAsia" w:ascii="宋体" w:hAnsi="宋体" w:eastAsia="宋体"/>
          <w:color w:val="auto"/>
          <w:sz w:val="21"/>
          <w:szCs w:val="21"/>
          <w:highlight w:val="none"/>
        </w:rPr>
        <w:t xml:space="preserve">：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adjustRightInd/>
        <w:snapToGrid/>
        <w:spacing w:line="276" w:lineRule="auto"/>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5" w:name="_Toc15719"/>
      <w:bookmarkStart w:id="296" w:name="_Toc27961"/>
      <w:r>
        <w:rPr>
          <w:rFonts w:hint="eastAsia"/>
          <w:color w:val="auto"/>
          <w:highlight w:val="none"/>
          <w:lang w:val="en-US" w:eastAsia="zh-CN"/>
        </w:rPr>
        <w:t>二、资格申明函</w:t>
      </w:r>
      <w:bookmarkEnd w:id="295"/>
      <w:bookmarkEnd w:id="296"/>
    </w:p>
    <w:p>
      <w:pPr>
        <w:pStyle w:val="35"/>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val="en-US" w:eastAsia="zh-CN"/>
        </w:rPr>
        <w:t>致</w:t>
      </w:r>
      <w:r>
        <w:rPr>
          <w:rFonts w:hint="eastAsia" w:ascii="宋体" w:eastAsia="宋体"/>
          <w:color w:val="auto"/>
          <w:sz w:val="21"/>
          <w:szCs w:val="21"/>
          <w:highlight w:val="none"/>
          <w:lang w:eastAsia="zh-CN"/>
        </w:rPr>
        <w:t>广东政通招标有限公司</w:t>
      </w:r>
      <w:r>
        <w:rPr>
          <w:rFonts w:hint="eastAsia" w:ascii="宋体" w:eastAsia="宋体"/>
          <w:color w:val="auto"/>
          <w:sz w:val="21"/>
          <w:szCs w:val="21"/>
          <w:highlight w:val="none"/>
        </w:rPr>
        <w:t>：</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w:t>
      </w:r>
      <w:r>
        <w:rPr>
          <w:rFonts w:ascii="宋体" w:hAnsi="宋体" w:eastAsia="宋体"/>
          <w:color w:val="auto"/>
          <w:sz w:val="21"/>
          <w:szCs w:val="21"/>
          <w:highlight w:val="none"/>
        </w:rPr>
        <w:t>邀请，参与</w:t>
      </w:r>
      <w:r>
        <w:rPr>
          <w:rFonts w:hint="eastAsia" w:ascii="宋体" w:hAnsi="宋体"/>
          <w:color w:val="auto"/>
          <w:sz w:val="21"/>
          <w:szCs w:val="21"/>
          <w:highlight w:val="none"/>
          <w:lang w:eastAsia="zh-CN"/>
        </w:rPr>
        <w:t>报价</w:t>
      </w:r>
      <w:r>
        <w:rPr>
          <w:rFonts w:ascii="宋体" w:hAnsi="宋体" w:eastAsia="宋体"/>
          <w:color w:val="auto"/>
          <w:sz w:val="21"/>
          <w:szCs w:val="21"/>
          <w:highlight w:val="none"/>
        </w:rPr>
        <w:t>，提供用户需求书中规定的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w:t>
      </w:r>
      <w:r>
        <w:rPr>
          <w:rFonts w:hint="eastAsia" w:ascii="宋体" w:hAnsi="宋体"/>
          <w:color w:val="auto"/>
          <w:sz w:val="21"/>
          <w:szCs w:val="21"/>
          <w:highlight w:val="none"/>
          <w:lang w:eastAsia="zh-CN"/>
        </w:rPr>
        <w:t>磋商文件</w:t>
      </w:r>
      <w:r>
        <w:rPr>
          <w:rFonts w:ascii="宋体" w:hAnsi="宋体" w:eastAsia="宋体"/>
          <w:color w:val="auto"/>
          <w:sz w:val="21"/>
          <w:szCs w:val="21"/>
          <w:highlight w:val="none"/>
        </w:rPr>
        <w:t>要求提交所附资格文件且声明和保证如下：</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我方具备《中华人民共和国政府采购法》第二十二条资格条件</w:t>
      </w:r>
      <w:r>
        <w:rPr>
          <w:rFonts w:hint="eastAsia" w:ascii="宋体" w:hAnsi="宋体" w:eastAsia="宋体"/>
          <w:color w:val="auto"/>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（一）具有独立承担民事责任的能力；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（二）具有良好的商业信誉和健全的财务会计制度；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（三）具有履行合同所必需的设备和专业技术能力；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（四）有依法缴纳税收和社会保障资金的良好记录；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（五）参加政府采购活动前三年内，在经营活动中没有重大违法记录；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（六）法律、行政法规规定的其他条件。 </w:t>
      </w:r>
    </w:p>
    <w:p>
      <w:pPr>
        <w:numPr>
          <w:ilvl w:val="0"/>
          <w:numId w:val="0"/>
        </w:numPr>
        <w:spacing w:after="0" w:line="360" w:lineRule="auto"/>
        <w:ind w:firstLine="420" w:firstLineChars="200"/>
        <w:rPr>
          <w:rFonts w:ascii="宋体" w:hAnsi="宋体" w:eastAsia="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eastAsia="宋体"/>
          <w:color w:val="auto"/>
          <w:sz w:val="21"/>
          <w:szCs w:val="21"/>
          <w:highlight w:val="none"/>
          <w:lang w:val="en-US" w:eastAsia="zh-CN"/>
        </w:rPr>
        <w:t>、我方</w:t>
      </w:r>
      <w:r>
        <w:rPr>
          <w:rFonts w:hint="eastAsia" w:ascii="宋体" w:hAnsi="宋体" w:eastAsia="宋体"/>
          <w:color w:val="auto"/>
          <w:sz w:val="21"/>
          <w:szCs w:val="21"/>
          <w:highlight w:val="none"/>
        </w:rPr>
        <w:t>已清楚</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所有要求及有关规定；并承诺参加本次政府采购活动中，如有违法、违规、弄虚作假行为，所造成的损失、不良后果及法律责任，一律由我方承担；</w:t>
      </w:r>
    </w:p>
    <w:p>
      <w:pPr>
        <w:pStyle w:val="35"/>
        <w:spacing w:line="500" w:lineRule="atLeast"/>
        <w:ind w:firstLine="3517" w:firstLineChars="1675"/>
        <w:rPr>
          <w:rFonts w:ascii="宋体" w:eastAsia="宋体"/>
          <w:color w:val="auto"/>
          <w:sz w:val="21"/>
          <w:szCs w:val="21"/>
          <w:highlight w:val="none"/>
        </w:rPr>
      </w:pP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jc w:val="both"/>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rFonts w:ascii="宋体" w:hAnsi="宋体" w:eastAsia="宋体"/>
          <w:color w:val="auto"/>
          <w:sz w:val="21"/>
          <w:szCs w:val="21"/>
          <w:highlight w:val="none"/>
        </w:rPr>
      </w:pPr>
    </w:p>
    <w:p>
      <w:pPr>
        <w:rPr>
          <w:rFonts w:ascii="宋体" w:hAnsi="宋体" w:eastAsia="宋体"/>
          <w:color w:val="auto"/>
          <w:sz w:val="21"/>
          <w:szCs w:val="21"/>
          <w:highlight w:val="none"/>
        </w:rPr>
      </w:pPr>
    </w:p>
    <w:p>
      <w:pPr>
        <w:pStyle w:val="7"/>
        <w:rPr>
          <w:color w:val="auto"/>
          <w:highlight w:val="none"/>
        </w:rPr>
      </w:pPr>
    </w:p>
    <w:p>
      <w:pPr>
        <w:rPr>
          <w:color w:val="auto"/>
          <w:highlight w:val="none"/>
        </w:rPr>
      </w:pPr>
      <w:bookmarkStart w:id="297" w:name="_Toc16412"/>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298" w:name="_Toc21273"/>
      <w:bookmarkStart w:id="299" w:name="_Toc21335"/>
      <w:r>
        <w:rPr>
          <w:rFonts w:hint="eastAsia"/>
          <w:color w:val="auto"/>
          <w:highlight w:val="none"/>
          <w:lang w:val="en-US" w:eastAsia="zh-CN"/>
        </w:rPr>
        <w:t>三、在参与政府采购活动前三年未有重大违法记录、没有不良信用记录的声明函</w:t>
      </w:r>
      <w:bookmarkEnd w:id="298"/>
      <w:bookmarkEnd w:id="299"/>
    </w:p>
    <w:p>
      <w:pPr>
        <w:spacing w:after="0" w:line="360" w:lineRule="auto"/>
        <w:ind w:firstLine="420" w:firstLineChars="200"/>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w:t>
      </w:r>
      <w:r>
        <w:rPr>
          <w:rFonts w:hint="eastAsia" w:ascii="宋体" w:hAnsi="宋体" w:eastAsia="宋体" w:cs="宋体"/>
          <w:color w:val="auto"/>
          <w:sz w:val="21"/>
          <w:szCs w:val="21"/>
          <w:highlight w:val="none"/>
          <w:lang w:eastAsia="zh-CN"/>
        </w:rPr>
        <w:t>广东政通招标有限公司</w:t>
      </w:r>
      <w:r>
        <w:rPr>
          <w:rFonts w:hint="eastAsia" w:ascii="宋体" w:hAnsi="宋体" w:eastAsia="宋体" w:cs="宋体"/>
          <w:color w:val="auto"/>
          <w:sz w:val="21"/>
          <w:szCs w:val="21"/>
          <w:highlight w:val="none"/>
        </w:rPr>
        <w:t>：</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）政府采购活动前三年内（设立不满三年的从设立之日计算），在经营活动中没有因违法经营受到刑事处罚或者责令停产停业、吊销许可证或者执照、较大数额罚款等行政处罚。至本项目提交</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名称（加盖公章）</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color w:val="auto"/>
          <w:highlight w:val="none"/>
        </w:rPr>
      </w:pPr>
      <w:r>
        <w:rPr>
          <w:rFonts w:ascii="楷体_GB2312" w:eastAsia="楷体_GB2312"/>
          <w:color w:val="auto"/>
          <w:sz w:val="24"/>
          <w:highlight w:val="none"/>
        </w:rPr>
        <w:br w:type="page"/>
      </w:r>
      <w:bookmarkEnd w:id="297"/>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0" w:name="_Toc32128"/>
      <w:bookmarkStart w:id="301" w:name="_Toc13243"/>
      <w:r>
        <w:rPr>
          <w:rFonts w:hint="eastAsia"/>
          <w:color w:val="auto"/>
          <w:highlight w:val="none"/>
          <w:lang w:val="en-US" w:eastAsia="zh-CN"/>
        </w:rPr>
        <w:t>四、法定代表人证明书</w:t>
      </w:r>
      <w:bookmarkEnd w:id="300"/>
      <w:bookmarkEnd w:id="301"/>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pStyle w:val="35"/>
        <w:spacing w:line="360" w:lineRule="auto"/>
        <w:ind w:firstLine="420" w:firstLineChars="200"/>
        <w:rPr>
          <w:rFonts w:hint="eastAsia"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u w:val="single"/>
          <w:lang w:eastAsia="zh-CN"/>
        </w:rPr>
        <w:t>供应商</w:t>
      </w:r>
      <w:r>
        <w:rPr>
          <w:rFonts w:hint="eastAsia" w:ascii="宋体" w:eastAsia="宋体"/>
          <w:color w:val="auto"/>
          <w:sz w:val="21"/>
          <w:szCs w:val="21"/>
          <w:highlight w:val="none"/>
          <w:u w:val="single"/>
        </w:rPr>
        <w:t xml:space="preserve">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联系方式：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身份证号码：</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w:t>
      </w:r>
      <w:r>
        <w:rPr>
          <w:rFonts w:hint="eastAsia" w:ascii="宋体" w:hAnsi="宋体" w:eastAsia="宋体"/>
          <w:color w:val="auto"/>
          <w:sz w:val="21"/>
          <w:szCs w:val="21"/>
          <w:highlight w:val="none"/>
        </w:rPr>
        <w:t>附法人代表身份证复印件。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pStyle w:val="35"/>
              <w:spacing w:line="460" w:lineRule="exact"/>
              <w:ind w:firstLine="0" w:firstLineChars="0"/>
              <w:jc w:val="center"/>
              <w:rPr>
                <w:rFonts w:ascii="宋体" w:eastAsia="宋体"/>
                <w:color w:val="auto"/>
                <w:sz w:val="22"/>
                <w:highlight w:val="none"/>
              </w:rPr>
            </w:pPr>
            <w:r>
              <w:rPr>
                <w:rFonts w:hint="eastAsia" w:ascii="宋体" w:hAnsi="宋体" w:eastAsia="宋体"/>
                <w:color w:val="auto"/>
                <w:sz w:val="21"/>
                <w:szCs w:val="21"/>
                <w:highlight w:val="none"/>
              </w:rPr>
              <w:t>法人代表身份证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rPr>
          <w:color w:val="auto"/>
          <w:highlight w:val="none"/>
        </w:rPr>
      </w:pPr>
    </w:p>
    <w:p>
      <w:pPr>
        <w:adjustRightInd/>
        <w:snapToGrid/>
        <w:spacing w:line="276" w:lineRule="auto"/>
        <w:rPr>
          <w:color w:val="auto"/>
          <w:highlight w:val="none"/>
        </w:rPr>
      </w:pPr>
      <w:r>
        <w:rPr>
          <w:rFonts w:ascii="楷体_GB2312" w:eastAsia="楷体_GB2312"/>
          <w:color w:val="auto"/>
          <w:sz w:val="24"/>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02" w:name="_Toc5918"/>
      <w:bookmarkStart w:id="303" w:name="_Toc11689"/>
      <w:r>
        <w:rPr>
          <w:rFonts w:hint="eastAsia"/>
          <w:color w:val="auto"/>
          <w:highlight w:val="none"/>
          <w:lang w:val="en-US" w:eastAsia="zh-CN"/>
        </w:rPr>
        <w:t>五、法定代表人授权书</w:t>
      </w:r>
      <w:bookmarkEnd w:id="302"/>
      <w:bookmarkEnd w:id="303"/>
    </w:p>
    <w:p>
      <w:pPr>
        <w:pStyle w:val="35"/>
        <w:spacing w:line="420" w:lineRule="atLeast"/>
        <w:ind w:firstLine="0" w:firstLineChars="0"/>
        <w:rPr>
          <w:rFonts w:hint="eastAsia" w:ascii="宋体" w:eastAsia="宋体"/>
          <w:color w:val="auto"/>
          <w:sz w:val="21"/>
          <w:szCs w:val="21"/>
          <w:highlight w:val="none"/>
          <w:lang w:eastAsia="zh-CN"/>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广东政通招标有限公司：</w:t>
      </w:r>
    </w:p>
    <w:p>
      <w:pPr>
        <w:pStyle w:val="35"/>
        <w:spacing w:line="420" w:lineRule="atLeast"/>
        <w:ind w:firstLine="433"/>
        <w:rPr>
          <w:rFonts w:ascii="宋体" w:eastAsia="宋体"/>
          <w:color w:val="auto"/>
          <w:sz w:val="21"/>
          <w:szCs w:val="21"/>
          <w:highlight w:val="none"/>
        </w:rPr>
      </w:pPr>
    </w:p>
    <w:p>
      <w:pPr>
        <w:spacing w:after="0" w:line="360" w:lineRule="auto"/>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本授权书声明：本人</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系</w:t>
      </w:r>
      <w:r>
        <w:rPr>
          <w:rFonts w:hint="eastAsia" w:ascii="宋体" w:hAnsi="宋体" w:eastAsia="宋体" w:cs="Times New Roman"/>
          <w:color w:val="auto"/>
          <w:sz w:val="21"/>
          <w:szCs w:val="21"/>
          <w:highlight w:val="none"/>
          <w:u w:val="single"/>
        </w:rPr>
        <w:t xml:space="preserve">     （</w:t>
      </w:r>
      <w:r>
        <w:rPr>
          <w:rFonts w:hint="eastAsia" w:ascii="宋体" w:hAnsi="宋体" w:cs="Times New Roman"/>
          <w:color w:val="auto"/>
          <w:sz w:val="21"/>
          <w:szCs w:val="21"/>
          <w:highlight w:val="none"/>
          <w:u w:val="single"/>
          <w:lang w:eastAsia="zh-CN"/>
        </w:rPr>
        <w:t>供应商</w:t>
      </w:r>
      <w:r>
        <w:rPr>
          <w:rFonts w:hint="eastAsia" w:ascii="宋体" w:hAnsi="宋体" w:eastAsia="宋体" w:cs="Times New Roman"/>
          <w:color w:val="auto"/>
          <w:sz w:val="21"/>
          <w:szCs w:val="21"/>
          <w:highlight w:val="none"/>
          <w:u w:val="single"/>
        </w:rPr>
        <w:t xml:space="preserve">名称）    </w:t>
      </w:r>
      <w:r>
        <w:rPr>
          <w:rFonts w:hint="eastAsia" w:ascii="宋体" w:hAnsi="宋体" w:eastAsia="宋体" w:cs="Times New Roman"/>
          <w:color w:val="auto"/>
          <w:sz w:val="21"/>
          <w:szCs w:val="21"/>
          <w:highlight w:val="none"/>
        </w:rPr>
        <w:t>的法定代表人，现委托</w:t>
      </w:r>
      <w:r>
        <w:rPr>
          <w:rFonts w:hint="eastAsia" w:ascii="宋体" w:hAnsi="宋体" w:eastAsia="宋体" w:cs="Times New Roman"/>
          <w:color w:val="auto"/>
          <w:sz w:val="21"/>
          <w:szCs w:val="21"/>
          <w:highlight w:val="none"/>
          <w:u w:val="single"/>
        </w:rPr>
        <w:t xml:space="preserve"> （姓名、职务） </w:t>
      </w:r>
      <w:r>
        <w:rPr>
          <w:rFonts w:hint="eastAsia" w:ascii="宋体" w:hAnsi="宋体" w:eastAsia="宋体" w:cs="Times New Roman"/>
          <w:color w:val="auto"/>
          <w:sz w:val="21"/>
          <w:szCs w:val="21"/>
          <w:highlight w:val="none"/>
        </w:rPr>
        <w:t>为我方合法代理人。代理人根据授权，以我方名义签署、澄清、说明、补正、递交、撤回、修改</w:t>
      </w:r>
      <w:r>
        <w:rPr>
          <w:rFonts w:hint="eastAsia" w:ascii="宋体" w:hAnsi="宋体" w:eastAsia="宋体" w:cs="Times New Roman"/>
          <w:color w:val="auto"/>
          <w:sz w:val="21"/>
          <w:szCs w:val="21"/>
          <w:highlight w:val="none"/>
          <w:u w:val="single"/>
        </w:rPr>
        <w:t xml:space="preserve"> （项目名称）</w:t>
      </w:r>
      <w:r>
        <w:rPr>
          <w:rFonts w:hint="eastAsia" w:ascii="宋体" w:hAnsi="宋体" w:eastAsia="宋体" w:cs="Times New Roman"/>
          <w:color w:val="auto"/>
          <w:sz w:val="21"/>
          <w:szCs w:val="21"/>
          <w:highlight w:val="none"/>
        </w:rPr>
        <w:t>（项目编号：</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w:t>
      </w:r>
      <w:r>
        <w:rPr>
          <w:rFonts w:hint="eastAsia" w:ascii="宋体" w:hAnsi="宋体" w:cs="Times New Roman"/>
          <w:color w:val="auto"/>
          <w:sz w:val="21"/>
          <w:szCs w:val="21"/>
          <w:highlight w:val="none"/>
          <w:lang w:eastAsia="zh-CN"/>
        </w:rPr>
        <w:t>响应文件</w:t>
      </w:r>
      <w:r>
        <w:rPr>
          <w:rFonts w:hint="eastAsia" w:ascii="宋体" w:hAnsi="宋体" w:eastAsia="宋体" w:cs="Times New Roman"/>
          <w:color w:val="auto"/>
          <w:sz w:val="21"/>
          <w:szCs w:val="21"/>
          <w:highlight w:val="none"/>
        </w:rPr>
        <w:t>、签订合同和处理有关事宜，其法律后果由我方承担。</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5"/>
        <w:spacing w:line="500" w:lineRule="atLeast"/>
        <w:ind w:firstLine="3517" w:firstLineChars="1675"/>
        <w:rPr>
          <w:rFonts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eastAsia="zh-CN"/>
        </w:rPr>
        <w:t>供应商</w:t>
      </w:r>
      <w:r>
        <w:rPr>
          <w:rFonts w:hint="eastAsia"/>
          <w:color w:val="auto"/>
          <w:highlight w:val="none"/>
        </w:rPr>
        <w:t>名称（加盖公章）：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法定代表人签字（签名或盖私章）：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被授权人签字：</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lang w:val="en-US" w:eastAsia="zh-CN"/>
        </w:rPr>
        <w:t>联系方式</w:t>
      </w:r>
      <w:r>
        <w:rPr>
          <w:rFonts w:hint="eastAsia"/>
          <w:color w:val="auto"/>
          <w:highlight w:val="none"/>
        </w:rPr>
        <w:t xml:space="preserve">：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 xml:space="preserve">邮箱：                          </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日     期：</w:t>
      </w:r>
    </w:p>
    <w:p>
      <w:pPr>
        <w:pStyle w:val="35"/>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lang w:val="en-US" w:eastAsia="zh-CN"/>
        </w:rPr>
        <w:t>注：须附</w:t>
      </w:r>
      <w:r>
        <w:rPr>
          <w:rFonts w:hint="eastAsia" w:ascii="宋体" w:hAnsi="宋体" w:eastAsia="宋体"/>
          <w:color w:val="auto"/>
          <w:sz w:val="21"/>
          <w:szCs w:val="21"/>
          <w:highlight w:val="none"/>
        </w:rPr>
        <w:t>被授权人身份证复印件。</w:t>
      </w:r>
    </w:p>
    <w:tbl>
      <w:tblPr>
        <w:tblStyle w:val="22"/>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pPr>
              <w:adjustRightInd/>
              <w:snapToGrid/>
              <w:spacing w:line="276" w:lineRule="auto"/>
              <w:rPr>
                <w:rFonts w:ascii="宋体" w:eastAsia="宋体"/>
                <w:color w:val="auto"/>
                <w:sz w:val="22"/>
                <w:highlight w:val="none"/>
              </w:rPr>
            </w:pPr>
            <w:bookmarkStart w:id="304" w:name="_Toc22486"/>
            <w:r>
              <w:rPr>
                <w:rFonts w:hint="eastAsia" w:ascii="宋体" w:hAnsi="宋体" w:eastAsia="宋体"/>
                <w:color w:val="auto"/>
                <w:sz w:val="21"/>
                <w:szCs w:val="21"/>
                <w:highlight w:val="none"/>
              </w:rPr>
              <w:t>被授权人身份证</w:t>
            </w:r>
            <w:r>
              <w:rPr>
                <w:rFonts w:hint="eastAsia" w:ascii="宋体" w:eastAsia="宋体"/>
                <w:color w:val="auto"/>
                <w:sz w:val="21"/>
                <w:szCs w:val="21"/>
                <w:highlight w:val="none"/>
                <w:lang w:eastAsia="zh-CN"/>
              </w:rPr>
              <w:t>：</w:t>
            </w:r>
            <w:r>
              <w:rPr>
                <w:rFonts w:hint="eastAsia" w:ascii="宋体" w:eastAsia="宋体"/>
                <w:color w:val="auto"/>
                <w:sz w:val="21"/>
                <w:szCs w:val="21"/>
                <w:highlight w:val="none"/>
                <w:lang w:val="en-US" w:eastAsia="zh-CN"/>
              </w:rPr>
              <w:t>正面、反面</w:t>
            </w:r>
            <w:r>
              <w:rPr>
                <w:rFonts w:hint="eastAsia" w:ascii="宋体" w:hAnsi="宋体" w:eastAsia="宋体"/>
                <w:color w:val="auto"/>
                <w:sz w:val="21"/>
                <w:szCs w:val="21"/>
                <w:highlight w:val="none"/>
              </w:rPr>
              <w:t>复印件</w:t>
            </w:r>
          </w:p>
        </w:tc>
      </w:tr>
    </w:tbl>
    <w:p>
      <w:pPr>
        <w:adjustRightInd/>
        <w:snapToGrid/>
        <w:spacing w:line="276" w:lineRule="auto"/>
        <w:rPr>
          <w:color w:val="auto"/>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jc w:val="center"/>
        <w:textAlignment w:val="auto"/>
        <w:rPr>
          <w:rFonts w:hint="eastAsia" w:ascii="宋体" w:eastAsia="宋体"/>
          <w:color w:val="auto"/>
          <w:sz w:val="21"/>
          <w:szCs w:val="21"/>
          <w:highlight w:val="none"/>
        </w:rPr>
      </w:pPr>
      <w:r>
        <w:rPr>
          <w:rFonts w:hint="eastAsia" w:asci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05" w:name="_Toc24013"/>
      <w:bookmarkStart w:id="306" w:name="_Toc1197"/>
      <w:r>
        <w:rPr>
          <w:rFonts w:hint="eastAsia"/>
          <w:color w:val="auto"/>
          <w:highlight w:val="none"/>
          <w:lang w:val="en-US" w:eastAsia="zh-CN"/>
        </w:rPr>
        <w:t>六、供应商基本情况说明</w:t>
      </w:r>
      <w:bookmarkEnd w:id="305"/>
      <w:bookmarkEnd w:id="306"/>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基本情况</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名称：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2、地    址：                                                                   </w:t>
      </w:r>
      <w:r>
        <w:rPr>
          <w:rFonts w:hint="eastAsia" w:ascii="宋体" w:hAnsi="宋体" w:eastAsia="宋体" w:cs="宋体"/>
          <w:color w:val="auto"/>
          <w:sz w:val="21"/>
          <w:szCs w:val="21"/>
          <w:highlight w:val="none"/>
          <w:u w:val="single"/>
        </w:rPr>
        <w:t xml:space="preserve"> </w:t>
      </w:r>
    </w:p>
    <w:p>
      <w:pPr>
        <w:keepNext w:val="0"/>
        <w:keepLines w:val="0"/>
        <w:pageBreakBefore w:val="0"/>
        <w:widowControl/>
        <w:tabs>
          <w:tab w:val="left" w:pos="4678"/>
        </w:tabs>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3、电话号码：                             传    真：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4、注册资金：                             经济性质：                            </w:t>
      </w:r>
      <w:r>
        <w:rPr>
          <w:rFonts w:hint="eastAsia" w:ascii="宋体" w:hAnsi="宋体" w:eastAsia="宋体" w:cs="宋体"/>
          <w:color w:val="auto"/>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开户银行名称及账号：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6、营业执照注册号（或信用代码）：  </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简介:</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after="0" w:line="360" w:lineRule="auto"/>
        <w:ind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35"/>
        <w:spacing w:line="500" w:lineRule="atLeast"/>
        <w:ind w:firstLine="433"/>
        <w:rPr>
          <w:rFonts w:ascii="宋体" w:eastAsia="宋体"/>
          <w:color w:val="auto"/>
          <w:sz w:val="21"/>
          <w:szCs w:val="21"/>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color w:val="auto"/>
          <w:highlight w:val="none"/>
        </w:rPr>
      </w:pPr>
      <w:bookmarkStart w:id="307" w:name="_Toc4926"/>
      <w:bookmarkStart w:id="308" w:name="_Toc17470"/>
      <w:bookmarkStart w:id="309" w:name="_Toc29995"/>
      <w:bookmarkStart w:id="310" w:name="_Toc11992"/>
      <w:bookmarkStart w:id="311" w:name="_Toc5919"/>
      <w:bookmarkStart w:id="312" w:name="_Toc24210"/>
      <w:bookmarkStart w:id="313" w:name="_Toc1511"/>
      <w:r>
        <w:rPr>
          <w:rFonts w:hint="eastAsia"/>
          <w:color w:val="auto"/>
          <w:highlight w:val="none"/>
          <w:lang w:val="en-US" w:eastAsia="zh-CN"/>
        </w:rPr>
        <w:t>七、</w:t>
      </w:r>
      <w:r>
        <w:rPr>
          <w:rFonts w:hint="eastAsia"/>
          <w:color w:val="auto"/>
          <w:highlight w:val="none"/>
        </w:rPr>
        <w:t>营业执照</w:t>
      </w:r>
      <w:bookmarkEnd w:id="307"/>
      <w:bookmarkEnd w:id="308"/>
      <w:bookmarkEnd w:id="309"/>
      <w:bookmarkEnd w:id="310"/>
      <w:bookmarkEnd w:id="311"/>
      <w:bookmarkEnd w:id="312"/>
      <w:bookmarkEnd w:id="313"/>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rPr>
      </w:pPr>
      <w:r>
        <w:rPr>
          <w:rFonts w:hint="eastAsia"/>
          <w:color w:val="auto"/>
          <w:highlight w:val="none"/>
        </w:rPr>
        <w:t>（或者事业单位法人证书、或者社会团体登记证书、或者民办非企业登记证书、或者其他组织核准执业证件）</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供应商应提供相关证明复印件盖公章。</w:t>
      </w:r>
    </w:p>
    <w:p>
      <w:pPr>
        <w:jc w:val="center"/>
        <w:rPr>
          <w:color w:val="auto"/>
          <w:highlight w:val="none"/>
        </w:rPr>
      </w:pPr>
      <w:r>
        <w:rPr>
          <w:rFonts w:hint="eastAsia" w:ascii="黑体" w:eastAsia="黑体"/>
          <w:color w:val="auto"/>
          <w:sz w:val="28"/>
          <w:szCs w:val="28"/>
          <w:highlight w:val="none"/>
        </w:rPr>
        <w:br w:type="page"/>
      </w:r>
    </w:p>
    <w:bookmarkEnd w:id="304"/>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4" w:name="_Toc12706"/>
      <w:bookmarkStart w:id="315" w:name="_Toc29439"/>
      <w:r>
        <w:rPr>
          <w:rFonts w:hint="eastAsia"/>
          <w:color w:val="auto"/>
          <w:highlight w:val="none"/>
          <w:lang w:val="en-US" w:eastAsia="zh-CN"/>
        </w:rPr>
        <w:t>八、</w:t>
      </w:r>
      <w:r>
        <w:rPr>
          <w:rFonts w:hint="eastAsia"/>
          <w:color w:val="auto"/>
          <w:highlight w:val="none"/>
        </w:rPr>
        <w:t>特殊资格要求证明文件</w:t>
      </w:r>
      <w:bookmarkEnd w:id="314"/>
      <w:bookmarkEnd w:id="315"/>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若采购项目对供应商资格无特殊要求，可删除本格式。</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16" w:name="_Toc14482"/>
      <w:bookmarkStart w:id="317" w:name="_Toc23341"/>
      <w:r>
        <w:rPr>
          <w:rFonts w:hint="eastAsia"/>
          <w:color w:val="auto"/>
          <w:highlight w:val="none"/>
          <w:lang w:val="en-US" w:eastAsia="zh-CN"/>
        </w:rPr>
        <w:t>九、</w:t>
      </w:r>
      <w:r>
        <w:rPr>
          <w:rFonts w:hint="eastAsia"/>
          <w:color w:val="auto"/>
          <w:highlight w:val="none"/>
        </w:rPr>
        <w:t>承诺书</w:t>
      </w:r>
      <w:bookmarkEnd w:id="316"/>
      <w:bookmarkEnd w:id="317"/>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jc w:val="center"/>
        <w:rPr>
          <w:rFonts w:hint="eastAsia" w:ascii="宋体" w:hAnsi="宋体" w:eastAsia="宋体" w:cs="宋体"/>
          <w:b w:val="0"/>
          <w:bCs w:val="0"/>
          <w:color w:val="auto"/>
          <w:sz w:val="21"/>
          <w:szCs w:val="21"/>
          <w:highlight w:val="none"/>
        </w:rPr>
      </w:pPr>
    </w:p>
    <w:p>
      <w:pPr>
        <w:pStyle w:val="35"/>
        <w:spacing w:line="420" w:lineRule="exact"/>
        <w:ind w:firstLine="455"/>
        <w:rPr>
          <w:rFonts w:hint="eastAsia" w:ascii="宋体" w:hAnsi="宋体" w:eastAsia="宋体" w:cs="宋体"/>
          <w:b w:val="0"/>
          <w:bCs w:val="0"/>
          <w:color w:val="auto"/>
          <w:sz w:val="21"/>
          <w:szCs w:val="21"/>
          <w:highlight w:val="none"/>
        </w:rPr>
      </w:pPr>
      <w:bookmarkStart w:id="318" w:name="_Toc313537922"/>
      <w:r>
        <w:rPr>
          <w:rFonts w:hint="eastAsia" w:ascii="宋体" w:hAnsi="宋体" w:eastAsia="宋体" w:cs="宋体"/>
          <w:b w:val="0"/>
          <w:bCs w:val="0"/>
          <w:color w:val="auto"/>
          <w:sz w:val="21"/>
          <w:szCs w:val="21"/>
          <w:highlight w:val="none"/>
        </w:rPr>
        <w:t>我方已完整阅读了</w:t>
      </w:r>
      <w:r>
        <w:rPr>
          <w:rFonts w:hint="eastAsia" w:ascii="宋体" w:hAnsi="宋体" w:eastAsia="宋体" w:cs="宋体"/>
          <w:b w:val="0"/>
          <w:bCs w:val="0"/>
          <w:color w:val="auto"/>
          <w:sz w:val="21"/>
          <w:szCs w:val="21"/>
          <w:highlight w:val="none"/>
          <w:u w:val="single"/>
        </w:rPr>
        <w:t xml:space="preserve">  （项目名称）     </w:t>
      </w:r>
      <w:r>
        <w:rPr>
          <w:rFonts w:hint="eastAsia" w:ascii="宋体" w:hAnsi="宋体" w:eastAsia="宋体" w:cs="宋体"/>
          <w:b w:val="0"/>
          <w:bCs w:val="0"/>
          <w:color w:val="auto"/>
          <w:sz w:val="21"/>
          <w:szCs w:val="21"/>
          <w:highlight w:val="none"/>
        </w:rPr>
        <w:t>项目（项目编号：</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rPr>
        <w:t>）</w:t>
      </w:r>
      <w:r>
        <w:rPr>
          <w:rFonts w:hint="eastAsia" w:ascii="宋体" w:eastAsia="宋体" w:cs="宋体"/>
          <w:b w:val="0"/>
          <w:bCs w:val="0"/>
          <w:color w:val="auto"/>
          <w:sz w:val="21"/>
          <w:szCs w:val="21"/>
          <w:highlight w:val="none"/>
          <w:lang w:eastAsia="zh-CN"/>
        </w:rPr>
        <w:t>磋商文件</w:t>
      </w:r>
      <w:r>
        <w:rPr>
          <w:rFonts w:hint="eastAsia" w:ascii="宋体" w:hAnsi="宋体" w:eastAsia="宋体" w:cs="宋体"/>
          <w:b w:val="0"/>
          <w:bCs w:val="0"/>
          <w:color w:val="auto"/>
          <w:sz w:val="21"/>
          <w:szCs w:val="21"/>
          <w:highlight w:val="none"/>
        </w:rPr>
        <w:t>的所有内容（包括澄清，以及所有已提供的参考资料和有关附件），并完全理解上述文件所表达的意思，该项目递交</w:t>
      </w:r>
      <w:r>
        <w:rPr>
          <w:rFonts w:hint="eastAsia" w:ascii="宋体" w:eastAsia="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时间截止后，我方承诺不再对上述文件内容进行询问或质疑。</w:t>
      </w:r>
      <w:bookmarkEnd w:id="318"/>
      <w:r>
        <w:rPr>
          <w:rFonts w:hint="eastAsia" w:ascii="宋体" w:hAnsi="宋体" w:eastAsia="宋体" w:cs="宋体"/>
          <w:b w:val="0"/>
          <w:bCs w:val="0"/>
          <w:color w:val="auto"/>
          <w:sz w:val="21"/>
          <w:szCs w:val="21"/>
          <w:highlight w:val="none"/>
        </w:rPr>
        <w:cr/>
      </w:r>
    </w:p>
    <w:p>
      <w:pPr>
        <w:pStyle w:val="35"/>
        <w:spacing w:line="420" w:lineRule="exact"/>
        <w:ind w:firstLine="455"/>
        <w:rPr>
          <w:rFonts w:hint="eastAsia" w:ascii="宋体" w:hAnsi="宋体" w:eastAsia="宋体" w:cs="宋体"/>
          <w:b w:val="0"/>
          <w:bCs w:val="0"/>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keepNext w:val="0"/>
        <w:keepLines w:val="0"/>
        <w:pageBreakBefore w:val="0"/>
        <w:widowControl/>
        <w:kinsoku/>
        <w:wordWrap/>
        <w:overflowPunct/>
        <w:topLinePunct w:val="0"/>
        <w:autoSpaceDE/>
        <w:autoSpaceDN/>
        <w:bidi w:val="0"/>
        <w:adjustRightInd w:val="0"/>
        <w:snapToGrid w:val="0"/>
        <w:spacing w:line="360" w:lineRule="auto"/>
        <w:ind w:right="561"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pStyle w:val="7"/>
        <w:rPr>
          <w:rFonts w:hint="eastAsia" w:ascii="宋体" w:hAnsi="宋体" w:eastAsia="宋体" w:cs="宋体"/>
          <w:b w:val="0"/>
          <w:bCs w:val="0"/>
          <w:color w:val="auto"/>
          <w:sz w:val="21"/>
          <w:szCs w:val="21"/>
          <w:highlight w:val="none"/>
        </w:rPr>
      </w:pPr>
    </w:p>
    <w:p>
      <w:pPr>
        <w:rPr>
          <w:rFonts w:hint="eastAsia" w:ascii="宋体" w:hAnsi="宋体" w:eastAsia="宋体" w:cs="宋体"/>
          <w:b w:val="0"/>
          <w:bCs w:val="0"/>
          <w:color w:val="auto"/>
          <w:sz w:val="21"/>
          <w:szCs w:val="21"/>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19" w:name="_Toc13653"/>
      <w:bookmarkStart w:id="320" w:name="_Toc31815"/>
      <w:r>
        <w:rPr>
          <w:rFonts w:hint="eastAsia"/>
          <w:color w:val="auto"/>
          <w:highlight w:val="none"/>
          <w:lang w:val="en-US" w:eastAsia="zh-CN"/>
        </w:rPr>
        <w:t>十、招标代理服务费承诺书</w:t>
      </w:r>
      <w:bookmarkEnd w:id="319"/>
      <w:bookmarkEnd w:id="320"/>
    </w:p>
    <w:p>
      <w:pPr>
        <w:pStyle w:val="35"/>
        <w:spacing w:line="420" w:lineRule="atLeast"/>
        <w:ind w:firstLine="0" w:firstLineChars="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致</w:t>
      </w:r>
      <w:r>
        <w:rPr>
          <w:rFonts w:hint="eastAsia" w:ascii="宋体" w:hAnsi="宋体" w:eastAsia="宋体" w:cs="宋体"/>
          <w:b w:val="0"/>
          <w:bCs w:val="0"/>
          <w:color w:val="auto"/>
          <w:sz w:val="21"/>
          <w:szCs w:val="21"/>
          <w:highlight w:val="none"/>
          <w:lang w:eastAsia="zh-CN"/>
        </w:rPr>
        <w:t>广东政通招标有限公司：</w:t>
      </w:r>
    </w:p>
    <w:p>
      <w:pPr>
        <w:pStyle w:val="10"/>
        <w:keepNext w:val="0"/>
        <w:keepLines w:val="0"/>
        <w:pageBreakBefore w:val="0"/>
        <w:widowControl w:val="0"/>
        <w:kinsoku/>
        <w:wordWrap/>
        <w:overflowPunct/>
        <w:topLinePunct w:val="0"/>
        <w:autoSpaceDE/>
        <w:autoSpaceDN/>
        <w:bidi w:val="0"/>
        <w:adjustRightInd/>
        <w:snapToGrid/>
        <w:spacing w:after="0" w:line="360" w:lineRule="auto"/>
        <w:ind w:firstLine="4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我公司</w:t>
      </w:r>
      <w:r>
        <w:rPr>
          <w:rFonts w:hint="eastAsia" w:ascii="宋体" w:hAnsi="宋体" w:eastAsia="宋体" w:cs="宋体"/>
          <w:b w:val="0"/>
          <w:bCs w:val="0"/>
          <w:color w:val="auto"/>
          <w:sz w:val="21"/>
          <w:szCs w:val="21"/>
          <w:highlight w:val="none"/>
          <w:u w:val="single"/>
        </w:rPr>
        <w:t xml:space="preserve">   （</w:t>
      </w:r>
      <w:r>
        <w:rPr>
          <w:rFonts w:hint="eastAsia" w:hAnsi="宋体" w:cs="宋体"/>
          <w:b w:val="0"/>
          <w:bCs w:val="0"/>
          <w:color w:val="auto"/>
          <w:sz w:val="21"/>
          <w:szCs w:val="21"/>
          <w:highlight w:val="none"/>
          <w:u w:val="single"/>
          <w:lang w:eastAsia="zh-CN"/>
        </w:rPr>
        <w:t>供应商</w:t>
      </w:r>
      <w:r>
        <w:rPr>
          <w:rFonts w:hint="eastAsia" w:ascii="宋体" w:hAnsi="宋体" w:eastAsia="宋体" w:cs="宋体"/>
          <w:b w:val="0"/>
          <w:bCs w:val="0"/>
          <w:color w:val="auto"/>
          <w:sz w:val="21"/>
          <w:szCs w:val="21"/>
          <w:highlight w:val="none"/>
          <w:u w:val="single"/>
        </w:rPr>
        <w:t xml:space="preserve">名称）   </w:t>
      </w:r>
      <w:r>
        <w:rPr>
          <w:rFonts w:hint="eastAsia" w:ascii="宋体" w:hAnsi="宋体" w:eastAsia="宋体" w:cs="宋体"/>
          <w:b w:val="0"/>
          <w:bCs w:val="0"/>
          <w:color w:val="auto"/>
          <w:sz w:val="21"/>
          <w:szCs w:val="21"/>
          <w:highlight w:val="none"/>
        </w:rPr>
        <w:t>在参加贵司进行的</w:t>
      </w:r>
      <w:r>
        <w:rPr>
          <w:rFonts w:hint="eastAsia" w:ascii="宋体" w:hAnsi="宋体" w:eastAsia="宋体" w:cs="宋体"/>
          <w:b w:val="0"/>
          <w:bCs w:val="0"/>
          <w:color w:val="auto"/>
          <w:sz w:val="21"/>
          <w:szCs w:val="21"/>
          <w:highlight w:val="none"/>
          <w:u w:val="single"/>
        </w:rPr>
        <w:t xml:space="preserve">   （项目名称）  （项目编号：      ）（包号：  ）</w:t>
      </w:r>
      <w:r>
        <w:rPr>
          <w:rFonts w:hint="eastAsia" w:ascii="宋体" w:hAnsi="宋体" w:eastAsia="宋体" w:cs="宋体"/>
          <w:b w:val="0"/>
          <w:bCs w:val="0"/>
          <w:color w:val="auto"/>
          <w:sz w:val="21"/>
          <w:szCs w:val="21"/>
          <w:highlight w:val="none"/>
        </w:rPr>
        <w:t>招标中如获中标，我公司承诺</w:t>
      </w:r>
      <w:r>
        <w:rPr>
          <w:rFonts w:hint="eastAsia" w:ascii="宋体" w:hAnsi="宋体" w:eastAsia="宋体" w:cs="宋体"/>
          <w:b w:val="0"/>
          <w:bCs w:val="0"/>
          <w:color w:val="auto"/>
          <w:sz w:val="21"/>
          <w:szCs w:val="21"/>
          <w:highlight w:val="none"/>
          <w:lang w:val="en-US" w:eastAsia="zh-CN"/>
        </w:rPr>
        <w:t>在</w:t>
      </w:r>
      <w:r>
        <w:rPr>
          <w:rFonts w:hint="eastAsia" w:ascii="宋体" w:hAnsi="宋体" w:eastAsia="宋体" w:cs="宋体"/>
          <w:b w:val="0"/>
          <w:bCs w:val="0"/>
          <w:color w:val="auto"/>
          <w:sz w:val="21"/>
          <w:szCs w:val="21"/>
          <w:highlight w:val="none"/>
        </w:rPr>
        <w:t>本项目“采购结果公告”发布之日起15日内，向贵司一次性交纳招标代理服务费。</w:t>
      </w:r>
    </w:p>
    <w:p>
      <w:pPr>
        <w:bidi w:val="0"/>
        <w:ind w:firstLine="420" w:firstLineChars="200"/>
        <w:rPr>
          <w:rFonts w:hint="eastAsia"/>
          <w:color w:val="auto"/>
          <w:highlight w:val="none"/>
          <w:lang w:eastAsia="zh-CN"/>
        </w:rPr>
      </w:pPr>
      <w:r>
        <w:rPr>
          <w:rFonts w:hint="eastAsia"/>
          <w:color w:val="auto"/>
          <w:highlight w:val="none"/>
        </w:rPr>
        <w:t>特此承诺</w:t>
      </w:r>
      <w:r>
        <w:rPr>
          <w:rFonts w:hint="eastAsia"/>
          <w:color w:val="auto"/>
          <w:highlight w:val="none"/>
          <w:lang w:eastAsia="zh-CN"/>
        </w:rPr>
        <w:t>。</w:t>
      </w:r>
    </w:p>
    <w:p>
      <w:pPr>
        <w:jc w:val="center"/>
        <w:rPr>
          <w:rFonts w:hint="eastAsia" w:ascii="宋体" w:hAnsi="宋体" w:eastAsia="宋体" w:cs="宋体"/>
          <w:b w:val="0"/>
          <w:bCs w:val="0"/>
          <w:color w:val="auto"/>
          <w:sz w:val="21"/>
          <w:szCs w:val="21"/>
          <w:highlight w:val="none"/>
        </w:rPr>
      </w:pPr>
    </w:p>
    <w:p>
      <w:pPr>
        <w:bidi w:val="0"/>
        <w:rPr>
          <w:rFonts w:hint="eastAsia"/>
          <w:color w:val="auto"/>
          <w:highlight w:val="none"/>
        </w:rPr>
      </w:pP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名称（加盖公章）：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法定代表人或被授权人（签名或盖私章）：</w:t>
      </w:r>
    </w:p>
    <w:p>
      <w:pPr>
        <w:spacing w:line="420" w:lineRule="exact"/>
        <w:ind w:right="561"/>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日      期：</w:t>
      </w:r>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1" w:name="_Toc1975"/>
      <w:bookmarkStart w:id="322" w:name="_Toc21582"/>
      <w:r>
        <w:rPr>
          <w:rFonts w:hint="eastAsia"/>
          <w:color w:val="auto"/>
          <w:highlight w:val="none"/>
          <w:lang w:val="en-US" w:eastAsia="zh-CN"/>
        </w:rPr>
        <w:t>十一、</w:t>
      </w:r>
      <w:r>
        <w:rPr>
          <w:rFonts w:hint="eastAsia"/>
          <w:color w:val="auto"/>
          <w:highlight w:val="none"/>
        </w:rPr>
        <w:t>商务条款偏离表</w:t>
      </w:r>
      <w:bookmarkEnd w:id="321"/>
      <w:bookmarkEnd w:id="322"/>
    </w:p>
    <w:tbl>
      <w:tblPr>
        <w:tblStyle w:val="22"/>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59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商务条款</w:t>
            </w:r>
            <w:r>
              <w:rPr>
                <w:rFonts w:hint="eastAsia" w:ascii="宋体" w:hAnsi="宋体" w:eastAsia="宋体"/>
                <w:color w:val="auto"/>
                <w:sz w:val="21"/>
                <w:szCs w:val="21"/>
                <w:highlight w:val="none"/>
              </w:rPr>
              <w:t>名称</w:t>
            </w:r>
          </w:p>
        </w:tc>
        <w:tc>
          <w:tcPr>
            <w:tcW w:w="1755"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w:t>
            </w:r>
          </w:p>
        </w:tc>
        <w:tc>
          <w:tcPr>
            <w:tcW w:w="1920"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实际响应</w:t>
            </w:r>
          </w:p>
        </w:tc>
        <w:tc>
          <w:tcPr>
            <w:tcW w:w="1412" w:type="dxa"/>
            <w:tcBorders>
              <w:tl2br w:val="nil"/>
              <w:tr2bl w:val="nil"/>
            </w:tcBorders>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偏离</w:t>
            </w:r>
            <w:r>
              <w:rPr>
                <w:rFonts w:hint="eastAsia" w:ascii="宋体" w:hAnsi="宋体" w:eastAsia="宋体"/>
                <w:color w:val="auto"/>
                <w:sz w:val="21"/>
                <w:szCs w:val="21"/>
                <w:highlight w:val="none"/>
                <w:lang w:val="en-US" w:eastAsia="zh-CN"/>
              </w:rPr>
              <w:t>情况</w:t>
            </w:r>
          </w:p>
        </w:tc>
        <w:tc>
          <w:tcPr>
            <w:tcW w:w="867" w:type="dxa"/>
            <w:tcBorders>
              <w:tl2br w:val="nil"/>
              <w:tr2bl w:val="nil"/>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pPr>
              <w:jc w:val="center"/>
              <w:rPr>
                <w:rFonts w:ascii="宋体" w:hAnsi="宋体" w:eastAsia="宋体"/>
                <w:color w:val="auto"/>
                <w:sz w:val="21"/>
                <w:szCs w:val="21"/>
                <w:highlight w:val="none"/>
              </w:rPr>
            </w:pPr>
          </w:p>
        </w:tc>
        <w:tc>
          <w:tcPr>
            <w:tcW w:w="1590" w:type="dxa"/>
            <w:tcBorders>
              <w:tl2br w:val="nil"/>
              <w:tr2bl w:val="nil"/>
            </w:tcBorders>
            <w:vAlign w:val="center"/>
          </w:tcPr>
          <w:p>
            <w:pPr>
              <w:jc w:val="center"/>
              <w:rPr>
                <w:rFonts w:ascii="宋体" w:hAnsi="宋体" w:eastAsia="宋体"/>
                <w:color w:val="auto"/>
                <w:sz w:val="21"/>
                <w:szCs w:val="21"/>
                <w:highlight w:val="none"/>
              </w:rPr>
            </w:pPr>
          </w:p>
        </w:tc>
        <w:tc>
          <w:tcPr>
            <w:tcW w:w="1755" w:type="dxa"/>
            <w:tcBorders>
              <w:tl2br w:val="nil"/>
              <w:tr2bl w:val="nil"/>
            </w:tcBorders>
            <w:vAlign w:val="center"/>
          </w:tcPr>
          <w:p>
            <w:pPr>
              <w:jc w:val="center"/>
              <w:rPr>
                <w:rFonts w:ascii="宋体" w:hAnsi="宋体" w:eastAsia="宋体"/>
                <w:color w:val="auto"/>
                <w:sz w:val="21"/>
                <w:szCs w:val="21"/>
                <w:highlight w:val="none"/>
              </w:rPr>
            </w:pPr>
          </w:p>
        </w:tc>
        <w:tc>
          <w:tcPr>
            <w:tcW w:w="1920" w:type="dxa"/>
            <w:tcBorders>
              <w:tl2br w:val="nil"/>
              <w:tr2bl w:val="nil"/>
            </w:tcBorders>
            <w:vAlign w:val="center"/>
          </w:tcPr>
          <w:p>
            <w:pPr>
              <w:jc w:val="center"/>
              <w:rPr>
                <w:rFonts w:ascii="宋体" w:hAnsi="宋体" w:eastAsia="宋体"/>
                <w:color w:val="auto"/>
                <w:sz w:val="21"/>
                <w:szCs w:val="21"/>
                <w:highlight w:val="none"/>
              </w:rPr>
            </w:pPr>
          </w:p>
        </w:tc>
        <w:tc>
          <w:tcPr>
            <w:tcW w:w="1412" w:type="dxa"/>
            <w:tcBorders>
              <w:tl2br w:val="nil"/>
              <w:tr2bl w:val="nil"/>
            </w:tcBorders>
            <w:vAlign w:val="center"/>
          </w:tcPr>
          <w:p>
            <w:pPr>
              <w:jc w:val="center"/>
              <w:rPr>
                <w:rFonts w:ascii="宋体" w:hAnsi="宋体" w:eastAsia="宋体"/>
                <w:color w:val="auto"/>
                <w:sz w:val="21"/>
                <w:szCs w:val="21"/>
                <w:highlight w:val="none"/>
              </w:rPr>
            </w:pPr>
          </w:p>
        </w:tc>
        <w:tc>
          <w:tcPr>
            <w:tcW w:w="867" w:type="dxa"/>
            <w:tcBorders>
              <w:tl2br w:val="nil"/>
              <w:tr2bl w:val="nil"/>
            </w:tcBorders>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0" w:firstLineChars="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的商务内容做出了实质性的响应，并申明与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资格、</w:t>
      </w:r>
      <w:r>
        <w:rPr>
          <w:rFonts w:hint="eastAsia" w:ascii="宋体" w:hAnsi="宋体" w:eastAsia="宋体"/>
          <w:color w:val="auto"/>
          <w:sz w:val="21"/>
          <w:szCs w:val="21"/>
          <w:highlight w:val="none"/>
          <w:lang w:val="en-US" w:eastAsia="zh-CN"/>
        </w:rPr>
        <w:t>合同期限、</w:t>
      </w:r>
      <w:r>
        <w:rPr>
          <w:rFonts w:hint="eastAsia" w:ascii="宋体" w:hAnsi="宋体" w:eastAsia="宋体"/>
          <w:color w:val="auto"/>
          <w:sz w:val="21"/>
          <w:szCs w:val="21"/>
          <w:highlight w:val="none"/>
        </w:rPr>
        <w:t>付款方式、</w:t>
      </w:r>
      <w:r>
        <w:rPr>
          <w:rFonts w:hint="eastAsia" w:ascii="宋体" w:hAnsi="宋体" w:eastAsia="宋体"/>
          <w:color w:val="auto"/>
          <w:sz w:val="21"/>
          <w:szCs w:val="21"/>
          <w:highlight w:val="none"/>
          <w:lang w:val="en-US" w:eastAsia="zh-CN"/>
        </w:rPr>
        <w:t>报价要求、</w:t>
      </w:r>
      <w:r>
        <w:rPr>
          <w:rFonts w:hint="eastAsia" w:ascii="宋体" w:hAnsi="宋体" w:eastAsia="宋体"/>
          <w:color w:val="auto"/>
          <w:sz w:val="21"/>
          <w:szCs w:val="21"/>
          <w:highlight w:val="none"/>
        </w:rPr>
        <w:t>履约保证金、售后服务、检验及验收等要求。</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rFonts w:hint="eastAsia"/>
          <w:color w:val="auto"/>
          <w:highlight w:val="none"/>
        </w:rPr>
      </w:pPr>
      <w:r>
        <w:rPr>
          <w:color w:val="auto"/>
          <w:highlight w:val="none"/>
        </w:rPr>
        <w:br w:type="page"/>
      </w:r>
      <w:bookmarkStart w:id="323" w:name="_Toc32183"/>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4" w:name="_Toc25391"/>
      <w:bookmarkStart w:id="325" w:name="_Toc7350"/>
      <w:r>
        <w:rPr>
          <w:rFonts w:hint="eastAsia"/>
          <w:color w:val="auto"/>
          <w:highlight w:val="none"/>
          <w:lang w:val="en-US" w:eastAsia="zh-CN"/>
        </w:rPr>
        <w:t>十二、</w:t>
      </w:r>
      <w:r>
        <w:rPr>
          <w:rFonts w:hint="eastAsia"/>
          <w:color w:val="auto"/>
          <w:highlight w:val="none"/>
        </w:rPr>
        <w:t>业绩表</w:t>
      </w:r>
      <w:bookmarkEnd w:id="324"/>
      <w:bookmarkEnd w:id="325"/>
    </w:p>
    <w:tbl>
      <w:tblPr>
        <w:tblStyle w:val="22"/>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noWrap w:val="0"/>
            <w:vAlign w:val="center"/>
          </w:tcPr>
          <w:p>
            <w:pPr>
              <w:ind w:left="-178" w:leftChars="-85"/>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 xml:space="preserve"> 序号</w:t>
            </w:r>
          </w:p>
        </w:tc>
        <w:tc>
          <w:tcPr>
            <w:tcW w:w="1140"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项目名称</w:t>
            </w:r>
          </w:p>
        </w:tc>
        <w:tc>
          <w:tcPr>
            <w:tcW w:w="1178"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合同金额</w:t>
            </w:r>
          </w:p>
        </w:tc>
        <w:tc>
          <w:tcPr>
            <w:tcW w:w="13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签约时间</w:t>
            </w:r>
          </w:p>
        </w:tc>
        <w:tc>
          <w:tcPr>
            <w:tcW w:w="1815" w:type="dxa"/>
            <w:tcBorders>
              <w:tl2br w:val="nil"/>
              <w:tr2bl w:val="nil"/>
            </w:tcBorders>
            <w:noWrap w:val="0"/>
            <w:vAlign w:val="center"/>
          </w:tcPr>
          <w:p>
            <w:pPr>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联系人</w:t>
            </w:r>
            <w:r>
              <w:rPr>
                <w:rFonts w:hint="eastAsia" w:ascii="宋体" w:hAnsi="宋体" w:eastAsia="宋体" w:cs="宋体"/>
                <w:b w:val="0"/>
                <w:bCs/>
                <w:color w:val="auto"/>
                <w:sz w:val="21"/>
                <w:szCs w:val="21"/>
                <w:highlight w:val="none"/>
                <w:lang w:val="en-US" w:eastAsia="zh-CN"/>
              </w:rPr>
              <w:t>及电话</w:t>
            </w:r>
          </w:p>
        </w:tc>
        <w:tc>
          <w:tcPr>
            <w:tcW w:w="1207"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完成情况</w:t>
            </w:r>
          </w:p>
        </w:tc>
        <w:tc>
          <w:tcPr>
            <w:tcW w:w="76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noWrap w:val="0"/>
            <w:vAlign w:val="center"/>
          </w:tcPr>
          <w:p>
            <w:pPr>
              <w:jc w:val="center"/>
              <w:rPr>
                <w:rFonts w:hint="eastAsia" w:ascii="宋体" w:hAnsi="宋体" w:eastAsia="宋体" w:cs="宋体"/>
                <w:b w:val="0"/>
                <w:bCs/>
                <w:color w:val="auto"/>
                <w:sz w:val="21"/>
                <w:szCs w:val="21"/>
                <w:highlight w:val="none"/>
              </w:rPr>
            </w:pPr>
          </w:p>
        </w:tc>
        <w:tc>
          <w:tcPr>
            <w:tcW w:w="1140"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178"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3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81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1207"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c>
          <w:tcPr>
            <w:tcW w:w="765" w:type="dxa"/>
            <w:tcBorders>
              <w:tl2br w:val="nil"/>
              <w:tr2bl w:val="nil"/>
            </w:tcBorders>
            <w:noWrap w:val="0"/>
            <w:vAlign w:val="center"/>
          </w:tcPr>
          <w:p>
            <w:pPr>
              <w:rPr>
                <w:rFonts w:hint="eastAsia" w:ascii="宋体" w:hAnsi="宋体" w:eastAsia="宋体" w:cs="宋体"/>
                <w:b w:val="0"/>
                <w:bCs/>
                <w:color w:val="auto"/>
                <w:sz w:val="21"/>
                <w:szCs w:val="21"/>
                <w:highlight w:val="none"/>
              </w:rPr>
            </w:pPr>
          </w:p>
        </w:tc>
      </w:tr>
    </w:tbl>
    <w:p>
      <w:pPr>
        <w:pStyle w:val="32"/>
        <w:spacing w:after="0"/>
        <w:rPr>
          <w:rFonts w:ascii="宋体" w:hAnsi="宋体" w:eastAsia="宋体"/>
          <w:color w:val="auto"/>
          <w:sz w:val="21"/>
          <w:szCs w:val="21"/>
          <w:highlight w:val="none"/>
        </w:rPr>
      </w:pPr>
    </w:p>
    <w:p>
      <w:pPr>
        <w:pStyle w:val="32"/>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eastAsia="宋体"/>
          <w:color w:val="auto"/>
          <w:sz w:val="21"/>
          <w:szCs w:val="21"/>
          <w:highlight w:val="none"/>
          <w:lang w:val="en-US" w:eastAsia="zh-CN"/>
        </w:rPr>
        <w:t>须提供须提供证明资料，</w:t>
      </w:r>
      <w:r>
        <w:rPr>
          <w:rFonts w:hint="eastAsia" w:ascii="宋体" w:hAnsi="宋体" w:eastAsia="宋体"/>
          <w:color w:val="auto"/>
          <w:sz w:val="21"/>
          <w:szCs w:val="21"/>
          <w:highlight w:val="none"/>
        </w:rPr>
        <w:t>业绩表所列出的材料应为真实准确的，并应提供相关证明材料复印件加盖公章。</w:t>
      </w: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pStyle w:val="7"/>
        <w:ind w:left="0" w:leftChars="0" w:firstLine="0" w:firstLineChars="0"/>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ascii="黑体" w:eastAsia="黑体"/>
          <w:color w:val="auto"/>
          <w:sz w:val="28"/>
          <w:szCs w:val="28"/>
          <w:highlight w:val="none"/>
        </w:rPr>
      </w:pPr>
      <w:bookmarkStart w:id="326" w:name="_Toc14688"/>
      <w:bookmarkStart w:id="327" w:name="_Toc25650"/>
      <w:r>
        <w:rPr>
          <w:rFonts w:hint="eastAsia"/>
          <w:color w:val="auto"/>
          <w:highlight w:val="none"/>
          <w:lang w:val="en-US" w:eastAsia="zh-CN"/>
        </w:rPr>
        <w:t>第三章技术文件</w:t>
      </w:r>
      <w:bookmarkEnd w:id="323"/>
      <w:bookmarkEnd w:id="326"/>
      <w:bookmarkEnd w:id="327"/>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28" w:name="_Toc7092"/>
      <w:bookmarkStart w:id="329" w:name="_Toc13588"/>
      <w:r>
        <w:rPr>
          <w:rFonts w:hint="eastAsia"/>
          <w:color w:val="auto"/>
          <w:highlight w:val="none"/>
          <w:lang w:val="en-US" w:eastAsia="zh-CN"/>
        </w:rPr>
        <w:t>一、</w:t>
      </w:r>
      <w:r>
        <w:rPr>
          <w:rFonts w:hint="eastAsia"/>
          <w:color w:val="auto"/>
          <w:highlight w:val="none"/>
        </w:rPr>
        <w:t>技术规格偏离表</w:t>
      </w:r>
      <w:bookmarkEnd w:id="328"/>
      <w:bookmarkEnd w:id="329"/>
    </w:p>
    <w:tbl>
      <w:tblPr>
        <w:tblStyle w:val="22"/>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23"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技术规格</w:t>
            </w:r>
          </w:p>
        </w:tc>
        <w:tc>
          <w:tcPr>
            <w:tcW w:w="1815"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要求</w:t>
            </w:r>
          </w:p>
        </w:tc>
        <w:tc>
          <w:tcPr>
            <w:tcW w:w="159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w:t>
            </w:r>
          </w:p>
        </w:tc>
        <w:tc>
          <w:tcPr>
            <w:tcW w:w="1260" w:type="dxa"/>
            <w:tcBorders>
              <w:tl2br w:val="nil"/>
              <w:tr2bl w:val="nil"/>
            </w:tcBorders>
            <w:vAlign w:val="center"/>
          </w:tcPr>
          <w:p>
            <w:pPr>
              <w:spacing w:after="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偏离</w:t>
            </w:r>
            <w:r>
              <w:rPr>
                <w:rFonts w:hint="eastAsia" w:ascii="宋体" w:hAnsi="宋体" w:eastAsia="宋体" w:cs="宋体"/>
                <w:color w:val="auto"/>
                <w:sz w:val="21"/>
                <w:szCs w:val="21"/>
                <w:highlight w:val="none"/>
                <w:lang w:val="en-US" w:eastAsia="zh-CN"/>
              </w:rPr>
              <w:t>情况</w:t>
            </w:r>
          </w:p>
        </w:tc>
        <w:tc>
          <w:tcPr>
            <w:tcW w:w="1200" w:type="dxa"/>
            <w:tcBorders>
              <w:tl2br w:val="nil"/>
              <w:tr2bl w:val="nil"/>
            </w:tcBorders>
            <w:vAlign w:val="center"/>
          </w:tcPr>
          <w:p>
            <w:pPr>
              <w:spacing w:after="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623"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815"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59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60" w:type="dxa"/>
            <w:tcBorders>
              <w:tl2br w:val="nil"/>
              <w:tr2bl w:val="nil"/>
            </w:tcBorders>
            <w:vAlign w:val="center"/>
          </w:tcPr>
          <w:p>
            <w:pPr>
              <w:jc w:val="center"/>
              <w:rPr>
                <w:rFonts w:hint="eastAsia" w:ascii="宋体" w:hAnsi="宋体" w:eastAsia="宋体" w:cs="宋体"/>
                <w:color w:val="auto"/>
                <w:sz w:val="21"/>
                <w:szCs w:val="21"/>
                <w:highlight w:val="none"/>
              </w:rPr>
            </w:pPr>
          </w:p>
        </w:tc>
        <w:tc>
          <w:tcPr>
            <w:tcW w:w="1200" w:type="dxa"/>
            <w:tcBorders>
              <w:tl2br w:val="nil"/>
              <w:tr2bl w:val="nil"/>
            </w:tcBorders>
            <w:vAlign w:val="center"/>
          </w:tcPr>
          <w:p>
            <w:pPr>
              <w:jc w:val="center"/>
              <w:rPr>
                <w:rFonts w:hint="eastAsia"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bidi w:val="0"/>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ind w:firstLine="178" w:firstLineChars="85"/>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left="0"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应对照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商务要求，在“偏离</w:t>
      </w:r>
      <w:r>
        <w:rPr>
          <w:rFonts w:hint="eastAsia" w:ascii="宋体" w:hAnsi="宋体" w:eastAsia="宋体"/>
          <w:color w:val="auto"/>
          <w:sz w:val="21"/>
          <w:szCs w:val="21"/>
          <w:highlight w:val="none"/>
          <w:lang w:val="en-US" w:eastAsia="zh-CN"/>
        </w:rPr>
        <w:t>情况</w:t>
      </w:r>
      <w:r>
        <w:rPr>
          <w:rFonts w:hint="eastAsia" w:ascii="宋体" w:hAnsi="宋体" w:eastAsia="宋体"/>
          <w:color w:val="auto"/>
          <w:sz w:val="21"/>
          <w:szCs w:val="21"/>
          <w:highlight w:val="none"/>
        </w:rPr>
        <w:t>”项中填写“无</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”、“正</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或</w:t>
      </w:r>
      <w:r>
        <w:rPr>
          <w:rFonts w:hint="eastAsia" w:ascii="宋体" w:hAnsi="宋体" w:eastAsia="宋体"/>
          <w:color w:val="auto"/>
          <w:sz w:val="21"/>
          <w:szCs w:val="21"/>
          <w:highlight w:val="none"/>
        </w:rPr>
        <w:t>“负</w:t>
      </w:r>
      <w:r>
        <w:rPr>
          <w:rFonts w:hint="eastAsia" w:ascii="宋体" w:hAnsi="宋体" w:eastAsia="宋体"/>
          <w:color w:val="auto"/>
          <w:sz w:val="21"/>
          <w:szCs w:val="21"/>
          <w:highlight w:val="none"/>
          <w:lang w:val="en-US" w:eastAsia="zh-CN"/>
        </w:rPr>
        <w:t>偏离</w:t>
      </w:r>
      <w:r>
        <w:rPr>
          <w:rFonts w:hint="eastAsia" w:ascii="宋体" w:hAnsi="宋体" w:eastAsia="宋体"/>
          <w:color w:val="auto"/>
          <w:sz w:val="21"/>
          <w:szCs w:val="21"/>
          <w:highlight w:val="none"/>
        </w:rPr>
        <w:t>”，逐条说明已对</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的商务内容做出了实质性的响应，并申明与</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的偏差和例外。</w:t>
      </w:r>
    </w:p>
    <w:p>
      <w:pPr>
        <w:rPr>
          <w:rFonts w:hint="eastAsia" w:ascii="宋体" w:hAnsi="宋体" w:eastAsia="宋体"/>
          <w:color w:val="auto"/>
          <w:sz w:val="21"/>
          <w:szCs w:val="21"/>
          <w:highlight w:val="none"/>
        </w:rPr>
      </w:pPr>
    </w:p>
    <w:p>
      <w:pPr>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rPr>
          <w:rFonts w:ascii="黑体" w:eastAsia="黑体"/>
          <w:color w:val="auto"/>
          <w:sz w:val="28"/>
          <w:szCs w:val="28"/>
          <w:highlight w:val="none"/>
        </w:rPr>
      </w:pPr>
      <w:bookmarkStart w:id="330" w:name="_Toc17691"/>
      <w:r>
        <w:rPr>
          <w:rFonts w:hint="eastAsia" w:ascii="宋体" w:hAnsi="宋体" w:eastAsia="宋体"/>
          <w:color w:val="auto"/>
          <w:sz w:val="21"/>
          <w:szCs w:val="21"/>
          <w:highlight w:val="none"/>
        </w:rPr>
        <w:br w:type="page"/>
      </w:r>
      <w:bookmarkEnd w:id="330"/>
      <w:bookmarkStart w:id="331" w:name="_Toc18668"/>
      <w:bookmarkStart w:id="332" w:name="_Toc4464"/>
      <w:bookmarkStart w:id="333" w:name="_Toc4827"/>
      <w:bookmarkStart w:id="334" w:name="_Toc26078"/>
      <w:bookmarkStart w:id="335" w:name="_Toc6080"/>
      <w:bookmarkStart w:id="336" w:name="_Toc1274"/>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37" w:name="_Toc28702"/>
      <w:bookmarkStart w:id="338" w:name="_Toc10734"/>
      <w:r>
        <w:rPr>
          <w:rFonts w:hint="eastAsia"/>
          <w:color w:val="auto"/>
          <w:highlight w:val="none"/>
          <w:lang w:val="en-US" w:eastAsia="zh-CN"/>
        </w:rPr>
        <w:t>二、</w:t>
      </w:r>
      <w:r>
        <w:rPr>
          <w:rFonts w:hint="eastAsia"/>
          <w:color w:val="auto"/>
          <w:highlight w:val="none"/>
        </w:rPr>
        <w:t>重要技术参数（▲）响应表</w:t>
      </w:r>
      <w:bookmarkEnd w:id="331"/>
      <w:bookmarkEnd w:id="332"/>
      <w:bookmarkEnd w:id="333"/>
      <w:bookmarkEnd w:id="334"/>
      <w:bookmarkEnd w:id="335"/>
      <w:bookmarkEnd w:id="336"/>
      <w:bookmarkEnd w:id="337"/>
      <w:bookmarkEnd w:id="338"/>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50"/>
        <w:gridCol w:w="2280"/>
        <w:gridCol w:w="1109"/>
        <w:gridCol w:w="15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39" w:name="_Toc2784"/>
            <w:bookmarkStart w:id="340" w:name="_Toc29642"/>
            <w:bookmarkStart w:id="341" w:name="_Toc27079"/>
            <w:bookmarkStart w:id="342" w:name="_Toc29560"/>
            <w:r>
              <w:rPr>
                <w:rFonts w:hint="eastAsia" w:ascii="宋体" w:hAnsi="宋体" w:eastAsia="宋体" w:cs="宋体"/>
                <w:b w:val="0"/>
                <w:bCs w:val="0"/>
                <w:color w:val="auto"/>
                <w:sz w:val="21"/>
                <w:szCs w:val="21"/>
                <w:highlight w:val="none"/>
                <w:lang w:val="en-US" w:eastAsia="zh-CN"/>
              </w:rPr>
              <w:t>序号</w:t>
            </w:r>
            <w:bookmarkEnd w:id="339"/>
            <w:bookmarkEnd w:id="340"/>
            <w:bookmarkEnd w:id="341"/>
            <w:bookmarkEnd w:id="342"/>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43" w:name="_Toc4304"/>
            <w:bookmarkStart w:id="344" w:name="_Toc27090"/>
            <w:bookmarkStart w:id="345" w:name="_Toc14815"/>
            <w:bookmarkStart w:id="346" w:name="_Toc15903"/>
            <w:bookmarkStart w:id="347" w:name="_Toc10045"/>
            <w:bookmarkStart w:id="348" w:name="_Toc16872"/>
            <w:bookmarkStart w:id="349" w:name="_Toc22448"/>
            <w:bookmarkStart w:id="350" w:name="_Toc6189"/>
            <w:bookmarkStart w:id="351" w:name="_Toc2700"/>
            <w:bookmarkStart w:id="352" w:name="_Toc1016"/>
            <w:bookmarkStart w:id="353" w:name="_Toc15368"/>
            <w:bookmarkStart w:id="354" w:name="_Toc21739"/>
            <w:bookmarkStart w:id="355" w:name="_Toc12049"/>
            <w:bookmarkStart w:id="356" w:name="_Toc26124"/>
            <w:bookmarkStart w:id="357" w:name="_Toc21809"/>
            <w:bookmarkStart w:id="358" w:name="_Toc7333"/>
            <w:bookmarkStart w:id="359" w:name="_Toc27442"/>
            <w:bookmarkStart w:id="360" w:name="_Toc22879"/>
            <w:bookmarkStart w:id="361" w:name="_Toc8312"/>
            <w:bookmarkStart w:id="362" w:name="_Toc8490"/>
            <w:bookmarkStart w:id="363" w:name="_Toc19251"/>
            <w:bookmarkStart w:id="364" w:name="_Toc22917"/>
            <w:bookmarkStart w:id="365" w:name="_Toc32531"/>
            <w:bookmarkStart w:id="366" w:name="_Toc24662"/>
            <w:r>
              <w:rPr>
                <w:rFonts w:hint="eastAsia" w:ascii="宋体" w:hAnsi="宋体" w:eastAsia="宋体" w:cs="宋体"/>
                <w:b w:val="0"/>
                <w:bCs w:val="0"/>
                <w:color w:val="auto"/>
                <w:sz w:val="21"/>
                <w:szCs w:val="21"/>
                <w:highlight w:val="none"/>
                <w:lang w:val="en-US" w:eastAsia="zh-CN"/>
              </w:rPr>
              <w:t>重要</w:t>
            </w:r>
            <w:r>
              <w:rPr>
                <w:rFonts w:hint="eastAsia" w:ascii="宋体" w:hAnsi="宋体" w:eastAsia="宋体" w:cs="宋体"/>
                <w:b w:val="0"/>
                <w:bCs w:val="0"/>
                <w:color w:val="auto"/>
                <w:sz w:val="21"/>
                <w:szCs w:val="21"/>
                <w:highlight w:val="none"/>
              </w:rPr>
              <w:t>技术参</w:t>
            </w:r>
            <w:r>
              <w:rPr>
                <w:rFonts w:hint="eastAsia" w:ascii="宋体" w:hAnsi="宋体" w:eastAsia="宋体" w:cs="宋体"/>
                <w:b w:val="0"/>
                <w:bCs w:val="0"/>
                <w:color w:val="auto"/>
                <w:sz w:val="21"/>
                <w:szCs w:val="21"/>
                <w:highlight w:val="none"/>
                <w:lang w:val="en-US" w:eastAsia="zh-CN"/>
              </w:rPr>
              <w:t>数评分条款</w:t>
            </w:r>
            <w:r>
              <w:rPr>
                <w:rFonts w:hint="eastAsia" w:ascii="宋体" w:hAnsi="宋体" w:eastAsia="宋体" w:cs="宋体"/>
                <w:b w:val="0"/>
                <w:bCs w:val="0"/>
                <w:color w:val="auto"/>
                <w:sz w:val="21"/>
                <w:szCs w:val="21"/>
                <w:highlight w:val="none"/>
              </w:rPr>
              <w: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bookmarkEnd w:id="357"/>
          <w:bookmarkEnd w:id="358"/>
          <w:bookmarkEnd w:id="359"/>
          <w:bookmarkEnd w:id="360"/>
          <w:bookmarkEnd w:id="361"/>
          <w:bookmarkEnd w:id="362"/>
          <w:bookmarkEnd w:id="363"/>
          <w:bookmarkEnd w:id="364"/>
          <w:bookmarkEnd w:id="365"/>
          <w:bookmarkEnd w:id="366"/>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67" w:name="_Toc21496"/>
            <w:bookmarkStart w:id="368" w:name="_Toc10122"/>
            <w:bookmarkStart w:id="369" w:name="_Toc22153"/>
            <w:bookmarkStart w:id="370" w:name="_Toc2408"/>
            <w:r>
              <w:rPr>
                <w:rFonts w:hint="eastAsia" w:ascii="宋体" w:hAnsi="宋体" w:eastAsia="宋体" w:cs="宋体"/>
                <w:b w:val="0"/>
                <w:bCs w:val="0"/>
                <w:color w:val="auto"/>
                <w:kern w:val="0"/>
                <w:sz w:val="21"/>
                <w:szCs w:val="21"/>
                <w:highlight w:val="none"/>
                <w:lang w:eastAsia="zh-CN"/>
              </w:rPr>
              <w:t>响应文件</w:t>
            </w:r>
            <w:r>
              <w:rPr>
                <w:rFonts w:hint="eastAsia" w:ascii="宋体" w:hAnsi="宋体" w:eastAsia="宋体" w:cs="宋体"/>
                <w:b w:val="0"/>
                <w:bCs w:val="0"/>
                <w:color w:val="auto"/>
                <w:kern w:val="0"/>
                <w:sz w:val="21"/>
                <w:szCs w:val="21"/>
                <w:highlight w:val="none"/>
              </w:rPr>
              <w:t>响应内容</w:t>
            </w:r>
            <w:bookmarkEnd w:id="367"/>
            <w:bookmarkEnd w:id="368"/>
            <w:bookmarkEnd w:id="369"/>
            <w:bookmarkEnd w:id="370"/>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lang w:val="en-US" w:eastAsia="zh-CN"/>
              </w:rPr>
            </w:pPr>
            <w:bookmarkStart w:id="371" w:name="_Toc29838"/>
            <w:bookmarkStart w:id="372" w:name="_Toc27285"/>
            <w:bookmarkStart w:id="373" w:name="_Toc16003"/>
            <w:bookmarkStart w:id="374" w:name="_Toc16432"/>
            <w:bookmarkStart w:id="375" w:name="_Toc1912"/>
            <w:bookmarkStart w:id="376" w:name="_Toc20139"/>
            <w:bookmarkStart w:id="377" w:name="_Toc1330"/>
            <w:bookmarkStart w:id="378" w:name="_Toc17642"/>
            <w:bookmarkStart w:id="379" w:name="_Toc3701"/>
            <w:bookmarkStart w:id="380" w:name="_Toc27185"/>
            <w:bookmarkStart w:id="381" w:name="_Toc5563"/>
            <w:bookmarkStart w:id="382" w:name="_Toc5992"/>
            <w:bookmarkStart w:id="383" w:name="_Toc20820"/>
            <w:bookmarkStart w:id="384" w:name="_Toc17296"/>
            <w:r>
              <w:rPr>
                <w:rFonts w:hint="eastAsia" w:ascii="宋体" w:hAnsi="宋体" w:eastAsia="宋体" w:cs="宋体"/>
                <w:b w:val="0"/>
                <w:bCs w:val="0"/>
                <w:color w:val="auto"/>
                <w:sz w:val="21"/>
                <w:szCs w:val="21"/>
                <w:highlight w:val="none"/>
                <w:lang w:val="en-US" w:eastAsia="zh-CN"/>
              </w:rPr>
              <w:t>说明</w:t>
            </w:r>
            <w:bookmarkEnd w:id="371"/>
            <w:bookmarkEnd w:id="372"/>
            <w:bookmarkEnd w:id="373"/>
            <w:bookmarkEnd w:id="374"/>
          </w:p>
        </w:tc>
        <w:tc>
          <w:tcPr>
            <w:tcW w:w="1591"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bookmarkStart w:id="385" w:name="_Toc857"/>
            <w:bookmarkStart w:id="386" w:name="_Toc19105"/>
            <w:bookmarkStart w:id="387" w:name="_Toc3520"/>
            <w:bookmarkStart w:id="388" w:name="_Toc31920"/>
            <w:r>
              <w:rPr>
                <w:rFonts w:hint="eastAsia" w:ascii="宋体" w:hAnsi="宋体" w:eastAsia="宋体" w:cs="宋体"/>
                <w:b w:val="0"/>
                <w:bCs w:val="0"/>
                <w:color w:val="auto"/>
                <w:sz w:val="21"/>
                <w:szCs w:val="21"/>
                <w:highlight w:val="none"/>
              </w:rPr>
              <w:t>页码范围</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56"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55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2280"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109" w:type="dxa"/>
            <w:tcBorders>
              <w:tl2br w:val="nil"/>
              <w:tr2bl w:val="nil"/>
            </w:tcBorders>
            <w:vAlign w:val="center"/>
          </w:tcPr>
          <w:p>
            <w:pPr>
              <w:pStyle w:val="5"/>
              <w:widowControl w:val="0"/>
              <w:overflowPunct w:val="0"/>
              <w:spacing w:before="0" w:after="0" w:line="240" w:lineRule="auto"/>
              <w:jc w:val="center"/>
              <w:rPr>
                <w:rFonts w:hint="eastAsia" w:ascii="宋体" w:hAnsi="宋体" w:eastAsia="宋体" w:cs="宋体"/>
                <w:b w:val="0"/>
                <w:bCs w:val="0"/>
                <w:color w:val="auto"/>
                <w:sz w:val="21"/>
                <w:szCs w:val="21"/>
                <w:highlight w:val="none"/>
              </w:rPr>
            </w:pPr>
          </w:p>
        </w:tc>
        <w:tc>
          <w:tcPr>
            <w:tcW w:w="1591" w:type="dxa"/>
            <w:tcBorders>
              <w:tl2br w:val="nil"/>
              <w:tr2bl w:val="nil"/>
            </w:tcBorders>
            <w:vAlign w:val="center"/>
          </w:tcPr>
          <w:p>
            <w:pPr>
              <w:widowControl/>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详见</w:t>
            </w:r>
            <w:r>
              <w:rPr>
                <w:rFonts w:hint="eastAsia" w:ascii="宋体" w:hAnsi="宋体" w:cs="宋体"/>
                <w:b w:val="0"/>
                <w:bCs w:val="0"/>
                <w:color w:val="auto"/>
                <w:sz w:val="21"/>
                <w:szCs w:val="21"/>
                <w:highlight w:val="none"/>
                <w:lang w:eastAsia="zh-CN"/>
              </w:rPr>
              <w:t>响应文件</w:t>
            </w:r>
            <w:r>
              <w:rPr>
                <w:rFonts w:hint="eastAsia" w:ascii="宋体" w:hAnsi="宋体" w:eastAsia="宋体" w:cs="宋体"/>
                <w:b w:val="0"/>
                <w:bCs w:val="0"/>
                <w:color w:val="auto"/>
                <w:sz w:val="21"/>
                <w:szCs w:val="21"/>
                <w:highlight w:val="none"/>
              </w:rPr>
              <w:t>第（）页</w:t>
            </w:r>
          </w:p>
        </w:tc>
      </w:tr>
    </w:tbl>
    <w:p>
      <w:pPr>
        <w:pStyle w:val="32"/>
        <w:spacing w:after="0" w:line="360" w:lineRule="auto"/>
        <w:rPr>
          <w:rFonts w:ascii="宋体" w:hAnsi="宋体" w:eastAsia="宋体"/>
          <w:color w:val="auto"/>
          <w:sz w:val="21"/>
          <w:szCs w:val="21"/>
          <w:highlight w:val="none"/>
        </w:rPr>
      </w:pP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w:t>
      </w:r>
      <w:r>
        <w:rPr>
          <w:rFonts w:hint="eastAsia" w:ascii="宋体" w:hAnsi="宋体"/>
          <w:color w:val="auto"/>
          <w:sz w:val="21"/>
          <w:szCs w:val="21"/>
          <w:highlight w:val="none"/>
          <w:lang w:val="en-US" w:eastAsia="zh-CN"/>
        </w:rPr>
        <w:t>供应商</w:t>
      </w:r>
      <w:r>
        <w:rPr>
          <w:rFonts w:hint="eastAsia" w:ascii="宋体" w:hAnsi="宋体" w:eastAsia="宋体"/>
          <w:color w:val="auto"/>
          <w:sz w:val="21"/>
          <w:szCs w:val="21"/>
          <w:highlight w:val="none"/>
        </w:rPr>
        <w:t>应逐条对照</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重要评分条款，如实地说明响应情况。</w:t>
      </w:r>
    </w:p>
    <w:p>
      <w:pPr>
        <w:pStyle w:val="32"/>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若该重要技术参数（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）规定提交相关证明材料的，供应商应当提供，并附于本格式后。未按要求提供或提供不符合要求的证明材料，视为不满足，按评分标准进行扣分处理。</w:t>
      </w:r>
    </w:p>
    <w:p>
      <w:pPr>
        <w:pStyle w:val="32"/>
        <w:spacing w:after="0"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磋商文件</w:t>
      </w:r>
      <w:r>
        <w:rPr>
          <w:rFonts w:hint="eastAsia" w:ascii="宋体" w:hAnsi="宋体" w:eastAsia="宋体"/>
          <w:b/>
          <w:bCs/>
          <w:color w:val="auto"/>
          <w:sz w:val="21"/>
          <w:szCs w:val="21"/>
          <w:highlight w:val="none"/>
        </w:rPr>
        <w:t>未设定重要技术参数（</w:t>
      </w:r>
      <w:r>
        <w:rPr>
          <w:rFonts w:hint="eastAsia" w:ascii="宋体" w:hAnsi="宋体" w:eastAsia="宋体" w:cs="Times New Roman"/>
          <w:b/>
          <w:bCs/>
          <w:color w:val="auto"/>
          <w:sz w:val="21"/>
          <w:szCs w:val="21"/>
          <w:highlight w:val="none"/>
        </w:rPr>
        <w:t>▲</w:t>
      </w:r>
      <w:r>
        <w:rPr>
          <w:rFonts w:hint="eastAsia" w:ascii="宋体" w:hAnsi="宋体" w:eastAsia="宋体"/>
          <w:b/>
          <w:bCs/>
          <w:color w:val="auto"/>
          <w:sz w:val="21"/>
          <w:szCs w:val="21"/>
          <w:highlight w:val="none"/>
        </w:rPr>
        <w:t>）评分条款的，可删除本格式。</w:t>
      </w:r>
    </w:p>
    <w:p>
      <w:pPr>
        <w:pStyle w:val="32"/>
        <w:spacing w:after="0" w:line="360" w:lineRule="auto"/>
        <w:rPr>
          <w:rFonts w:ascii="宋体" w:hAnsi="宋体" w:eastAsia="宋体"/>
          <w:color w:val="auto"/>
          <w:sz w:val="21"/>
          <w:szCs w:val="21"/>
          <w:highlight w:val="none"/>
        </w:rPr>
      </w:pPr>
    </w:p>
    <w:p>
      <w:pPr>
        <w:pStyle w:val="32"/>
        <w:numPr>
          <w:ilvl w:val="0"/>
          <w:numId w:val="23"/>
        </w:numPr>
        <w:spacing w:after="0"/>
        <w:rPr>
          <w:rFonts w:ascii="黑体" w:eastAsia="黑体"/>
          <w:color w:val="auto"/>
          <w:sz w:val="32"/>
          <w:szCs w:val="32"/>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89" w:name="_Toc25570"/>
      <w:bookmarkStart w:id="390" w:name="_Toc19349"/>
      <w:r>
        <w:rPr>
          <w:rFonts w:hint="eastAsia"/>
          <w:color w:val="auto"/>
          <w:highlight w:val="none"/>
          <w:lang w:val="en-US" w:eastAsia="zh-CN"/>
        </w:rPr>
        <w:t>三、</w:t>
      </w:r>
      <w:r>
        <w:rPr>
          <w:rFonts w:hint="eastAsia"/>
          <w:color w:val="auto"/>
          <w:highlight w:val="none"/>
        </w:rPr>
        <w:t>实质性条款（标记★）响应表</w:t>
      </w:r>
      <w:bookmarkEnd w:id="389"/>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398"/>
        <w:gridCol w:w="2399"/>
        <w:gridCol w:w="1180"/>
        <w:gridCol w:w="18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磋商文件</w:t>
            </w:r>
            <w:r>
              <w:rPr>
                <w:rFonts w:hint="eastAsia" w:ascii="宋体" w:hAnsi="宋体" w:cs="宋体"/>
                <w:color w:val="auto"/>
                <w:kern w:val="0"/>
                <w:sz w:val="24"/>
                <w:szCs w:val="24"/>
                <w:highlight w:val="none"/>
              </w:rPr>
              <w:t>实质性条款</w:t>
            </w: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响应文件</w:t>
            </w:r>
            <w:r>
              <w:rPr>
                <w:rFonts w:hint="eastAsia" w:ascii="宋体" w:hAnsi="宋体" w:cs="宋体"/>
                <w:color w:val="auto"/>
                <w:kern w:val="0"/>
                <w:sz w:val="24"/>
                <w:szCs w:val="24"/>
                <w:highlight w:val="none"/>
              </w:rPr>
              <w:t>响应内容</w:t>
            </w:r>
          </w:p>
        </w:tc>
        <w:tc>
          <w:tcPr>
            <w:tcW w:w="1180" w:type="dxa"/>
            <w:tcBorders>
              <w:tl2br w:val="nil"/>
              <w:tr2bl w:val="nil"/>
            </w:tcBorders>
            <w:noWrap w:val="0"/>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是否偏离</w:t>
            </w: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ascii="宋体" w:hAnsi="宋体" w:cs="宋体"/>
                <w:color w:val="auto"/>
                <w:kern w:val="0"/>
                <w:sz w:val="24"/>
                <w:szCs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0" w:type="auto"/>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8"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2399" w:type="dxa"/>
            <w:tcBorders>
              <w:tl2br w:val="nil"/>
              <w:tr2bl w:val="nil"/>
            </w:tcBorders>
            <w:noWrap w:val="0"/>
            <w:vAlign w:val="center"/>
          </w:tcPr>
          <w:p>
            <w:pPr>
              <w:widowControl/>
              <w:jc w:val="center"/>
              <w:rPr>
                <w:rFonts w:ascii="宋体" w:hAnsi="宋体" w:cs="宋体"/>
                <w:color w:val="auto"/>
                <w:kern w:val="0"/>
                <w:sz w:val="24"/>
                <w:szCs w:val="24"/>
                <w:highlight w:val="none"/>
              </w:rPr>
            </w:pPr>
          </w:p>
        </w:tc>
        <w:tc>
          <w:tcPr>
            <w:tcW w:w="1180" w:type="dxa"/>
            <w:tcBorders>
              <w:tl2br w:val="nil"/>
              <w:tr2bl w:val="nil"/>
            </w:tcBorders>
            <w:noWrap w:val="0"/>
            <w:vAlign w:val="center"/>
          </w:tcPr>
          <w:p>
            <w:pPr>
              <w:widowControl/>
              <w:jc w:val="center"/>
              <w:rPr>
                <w:rFonts w:hint="eastAsia" w:ascii="宋体" w:hAnsi="宋体"/>
                <w:color w:val="auto"/>
                <w:sz w:val="24"/>
                <w:highlight w:val="none"/>
              </w:rPr>
            </w:pPr>
          </w:p>
        </w:tc>
        <w:tc>
          <w:tcPr>
            <w:tcW w:w="1867" w:type="dxa"/>
            <w:tcBorders>
              <w:tl2br w:val="nil"/>
              <w:tr2bl w:val="nil"/>
            </w:tcBorders>
            <w:noWrap w:val="0"/>
            <w:vAlign w:val="center"/>
          </w:tcPr>
          <w:p>
            <w:pPr>
              <w:widowControl/>
              <w:jc w:val="center"/>
              <w:rPr>
                <w:rFonts w:hint="eastAsia" w:ascii="宋体" w:hAnsi="宋体"/>
                <w:color w:val="auto"/>
                <w:sz w:val="24"/>
                <w:highlight w:val="none"/>
              </w:rPr>
            </w:pPr>
            <w:r>
              <w:rPr>
                <w:rFonts w:hint="eastAsia" w:ascii="宋体" w:hAnsi="宋体"/>
                <w:color w:val="auto"/>
                <w:sz w:val="24"/>
                <w:highlight w:val="none"/>
              </w:rPr>
              <w:t>详见</w:t>
            </w:r>
            <w:r>
              <w:rPr>
                <w:rFonts w:hint="eastAsia" w:ascii="宋体" w:hAnsi="宋体"/>
                <w:color w:val="auto"/>
                <w:sz w:val="24"/>
                <w:highlight w:val="none"/>
                <w:lang w:eastAsia="zh-CN"/>
              </w:rPr>
              <w:t>响应文件</w:t>
            </w:r>
            <w:r>
              <w:rPr>
                <w:rFonts w:hint="eastAsia" w:ascii="宋体" w:hAnsi="宋体"/>
                <w:color w:val="auto"/>
                <w:sz w:val="24"/>
                <w:highlight w:val="none"/>
              </w:rPr>
              <w:t>第（）页</w:t>
            </w:r>
          </w:p>
        </w:tc>
      </w:tr>
    </w:tbl>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p>
    <w:p>
      <w:pPr>
        <w:bidi w:val="0"/>
        <w:rPr>
          <w:rFonts w:hint="eastAsia"/>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盖章：</w:t>
      </w:r>
    </w:p>
    <w:p>
      <w:pPr>
        <w:bidi w:val="0"/>
        <w:rPr>
          <w:rFonts w:hint="eastAsia"/>
          <w:color w:val="auto"/>
          <w:highlight w:val="none"/>
          <w:lang w:val="en-US" w:eastAsia="zh-CN"/>
        </w:rPr>
      </w:pPr>
    </w:p>
    <w:p>
      <w:pPr>
        <w:bidi w:val="0"/>
        <w:rPr>
          <w:rFonts w:hint="eastAsia"/>
          <w:color w:val="auto"/>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color w:val="auto"/>
          <w:highlight w:val="none"/>
        </w:rPr>
      </w:pPr>
      <w:r>
        <w:rPr>
          <w:rFonts w:hint="eastAsia"/>
          <w:color w:val="auto"/>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供应商应逐条对照</w:t>
      </w:r>
      <w:r>
        <w:rPr>
          <w:rFonts w:hint="eastAsia"/>
          <w:color w:val="auto"/>
          <w:highlight w:val="none"/>
          <w:lang w:eastAsia="zh-CN"/>
        </w:rPr>
        <w:t>磋商文件</w:t>
      </w:r>
      <w:r>
        <w:rPr>
          <w:rFonts w:hint="eastAsia"/>
          <w:color w:val="auto"/>
          <w:highlight w:val="none"/>
        </w:rPr>
        <w:t>实质性条款，如实地说明响应情况。不满足的按无效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若该实质性条款规定提交相关证明材料的，供应商应当提供，并附于本格式后。未按要求提供或提供不符合要求的证明材料，视为不满足，按无效</w:t>
      </w:r>
      <w:r>
        <w:rPr>
          <w:rFonts w:hint="eastAsia"/>
          <w:color w:val="auto"/>
          <w:highlight w:val="none"/>
          <w:lang w:val="en-US" w:eastAsia="zh-CN"/>
        </w:rPr>
        <w:t>响应文件</w:t>
      </w:r>
      <w:r>
        <w:rPr>
          <w:rFonts w:hint="eastAsia"/>
          <w:color w:val="auto"/>
          <w:highlight w:val="none"/>
        </w:rPr>
        <w:t>处理。</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w:t>
      </w:r>
      <w:r>
        <w:rPr>
          <w:rFonts w:hint="eastAsia"/>
          <w:color w:val="auto"/>
          <w:highlight w:val="none"/>
        </w:rPr>
        <w:t>若</w:t>
      </w:r>
      <w:r>
        <w:rPr>
          <w:rFonts w:hint="eastAsia"/>
          <w:color w:val="auto"/>
          <w:highlight w:val="none"/>
          <w:lang w:eastAsia="zh-CN"/>
        </w:rPr>
        <w:t>磋商文件</w:t>
      </w:r>
      <w:r>
        <w:rPr>
          <w:rFonts w:hint="eastAsia"/>
          <w:color w:val="auto"/>
          <w:highlight w:val="none"/>
        </w:rPr>
        <w:t>未设定实质性条款的，可删除本格式。</w:t>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rPr>
      </w:pPr>
      <w:bookmarkStart w:id="391" w:name="_Toc14250"/>
      <w:r>
        <w:rPr>
          <w:rFonts w:hint="eastAsia"/>
          <w:color w:val="auto"/>
          <w:highlight w:val="none"/>
          <w:lang w:val="en-US" w:eastAsia="zh-CN"/>
        </w:rPr>
        <w:t>四、</w:t>
      </w:r>
      <w:r>
        <w:rPr>
          <w:rFonts w:hint="eastAsia"/>
          <w:color w:val="auto"/>
          <w:highlight w:val="none"/>
        </w:rPr>
        <w:t>项目</w:t>
      </w:r>
      <w:r>
        <w:rPr>
          <w:rFonts w:hint="eastAsia"/>
          <w:color w:val="auto"/>
          <w:highlight w:val="none"/>
          <w:lang w:val="en-US" w:eastAsia="zh-CN"/>
        </w:rPr>
        <w:t>技术</w:t>
      </w:r>
      <w:r>
        <w:rPr>
          <w:rFonts w:hint="eastAsia"/>
          <w:color w:val="auto"/>
          <w:highlight w:val="none"/>
        </w:rPr>
        <w:t>方案</w:t>
      </w:r>
      <w:bookmarkEnd w:id="390"/>
      <w:bookmarkEnd w:id="391"/>
    </w:p>
    <w:p>
      <w:pPr>
        <w:spacing w:after="0" w:line="360" w:lineRule="auto"/>
        <w:ind w:left="71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根据用户需求及技术评审要求</w:t>
      </w:r>
      <w:r>
        <w:rPr>
          <w:rFonts w:hint="eastAsia" w:ascii="宋体" w:hAnsi="宋体" w:eastAsia="宋体"/>
          <w:color w:val="auto"/>
          <w:sz w:val="21"/>
          <w:szCs w:val="21"/>
          <w:highlight w:val="none"/>
        </w:rPr>
        <w:t>自行编写。</w:t>
      </w: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p>
    <w:p>
      <w:pPr>
        <w:spacing w:after="0" w:line="360" w:lineRule="auto"/>
        <w:ind w:left="71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2" w:name="_Toc16875"/>
      <w:bookmarkStart w:id="393" w:name="_Toc16328"/>
      <w:r>
        <w:rPr>
          <w:rFonts w:hint="eastAsia"/>
          <w:color w:val="auto"/>
          <w:highlight w:val="none"/>
          <w:lang w:val="en-US" w:eastAsia="zh-CN"/>
        </w:rPr>
        <w:t>五、项目负责人及团队成员资料表</w:t>
      </w:r>
      <w:bookmarkEnd w:id="392"/>
      <w:bookmarkEnd w:id="393"/>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表格格式自行编辑。</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1、证明资料须加盖公章。</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如本项目不涉及</w:t>
      </w:r>
      <w:r>
        <w:rPr>
          <w:rFonts w:hint="eastAsia" w:ascii="宋体" w:hAnsi="宋体"/>
          <w:color w:val="auto"/>
          <w:sz w:val="21"/>
          <w:szCs w:val="21"/>
          <w:highlight w:val="none"/>
          <w:lang w:val="en-US" w:eastAsia="zh-CN"/>
        </w:rPr>
        <w:t>人员</w:t>
      </w:r>
      <w:r>
        <w:rPr>
          <w:rFonts w:hint="eastAsia" w:ascii="宋体" w:hAnsi="宋体" w:eastAsia="宋体"/>
          <w:color w:val="auto"/>
          <w:sz w:val="21"/>
          <w:szCs w:val="21"/>
          <w:highlight w:val="none"/>
        </w:rPr>
        <w:t>内容，则无需提供此表。</w:t>
      </w:r>
    </w:p>
    <w:p>
      <w:pPr>
        <w:ind w:firstLine="178" w:firstLineChars="85"/>
        <w:rPr>
          <w:rFonts w:hint="eastAsia" w:ascii="宋体" w:hAnsi="宋体" w:eastAsia="宋体"/>
          <w:color w:val="auto"/>
          <w:sz w:val="21"/>
          <w:szCs w:val="21"/>
          <w:highlight w:val="none"/>
        </w:rPr>
      </w:pPr>
    </w:p>
    <w:p>
      <w:pPr>
        <w:pStyle w:val="7"/>
        <w:rPr>
          <w:rFonts w:hint="eastAsia"/>
          <w:color w:val="auto"/>
          <w:highlight w:val="none"/>
        </w:rPr>
      </w:pP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default"/>
          <w:color w:val="auto"/>
          <w:highlight w:val="none"/>
          <w:lang w:val="en-US" w:eastAsia="zh-CN"/>
        </w:rPr>
      </w:pPr>
      <w:bookmarkStart w:id="394" w:name="_Toc27978"/>
      <w:bookmarkStart w:id="395" w:name="_Toc15431"/>
      <w:r>
        <w:rPr>
          <w:rFonts w:hint="eastAsia"/>
          <w:color w:val="auto"/>
          <w:highlight w:val="none"/>
          <w:lang w:val="en-US" w:eastAsia="zh-CN"/>
        </w:rPr>
        <w:t>六、响应货物明细一览表</w:t>
      </w:r>
      <w:bookmarkEnd w:id="394"/>
      <w:bookmarkEnd w:id="395"/>
    </w:p>
    <w:tbl>
      <w:tblPr>
        <w:tblStyle w:val="22"/>
        <w:tblW w:w="8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5"/>
        <w:gridCol w:w="763"/>
        <w:gridCol w:w="1155"/>
        <w:gridCol w:w="682"/>
        <w:gridCol w:w="738"/>
        <w:gridCol w:w="161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货物名称</w:t>
            </w: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品牌</w:t>
            </w: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货物型号</w:t>
            </w: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单位</w:t>
            </w:r>
          </w:p>
        </w:tc>
        <w:tc>
          <w:tcPr>
            <w:tcW w:w="738"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616"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技术参数</w:t>
            </w: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34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63"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1155"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68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c>
          <w:tcPr>
            <w:tcW w:w="738"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616" w:type="dxa"/>
            <w:tcBorders>
              <w:tl2br w:val="nil"/>
              <w:tr2bl w:val="nil"/>
            </w:tcBorders>
          </w:tcPr>
          <w:p>
            <w:pPr>
              <w:pStyle w:val="10"/>
              <w:spacing w:line="300" w:lineRule="auto"/>
              <w:jc w:val="center"/>
              <w:rPr>
                <w:rFonts w:hint="eastAsia" w:ascii="宋体" w:hAnsi="宋体" w:eastAsia="宋体" w:cs="宋体"/>
                <w:b w:val="0"/>
                <w:bCs/>
                <w:color w:val="auto"/>
                <w:sz w:val="21"/>
                <w:szCs w:val="21"/>
                <w:highlight w:val="none"/>
              </w:rPr>
            </w:pPr>
          </w:p>
        </w:tc>
        <w:tc>
          <w:tcPr>
            <w:tcW w:w="1342" w:type="dxa"/>
            <w:tcBorders>
              <w:tl2br w:val="nil"/>
              <w:tr2bl w:val="nil"/>
            </w:tcBorders>
            <w:vAlign w:val="center"/>
          </w:tcPr>
          <w:p>
            <w:pPr>
              <w:pStyle w:val="10"/>
              <w:spacing w:line="300" w:lineRule="auto"/>
              <w:jc w:val="center"/>
              <w:rPr>
                <w:rFonts w:hint="eastAsia" w:ascii="宋体" w:hAnsi="宋体" w:eastAsia="宋体" w:cs="宋体"/>
                <w:b w:val="0"/>
                <w:bCs/>
                <w:color w:val="auto"/>
                <w:sz w:val="21"/>
                <w:szCs w:val="21"/>
                <w:highlight w:val="none"/>
              </w:rPr>
            </w:pPr>
          </w:p>
        </w:tc>
      </w:tr>
    </w:tbl>
    <w:p>
      <w:pPr>
        <w:spacing w:after="0"/>
        <w:rPr>
          <w:color w:val="auto"/>
          <w:highlight w:val="none"/>
        </w:rPr>
      </w:pPr>
      <w:r>
        <w:rPr>
          <w:rFonts w:hint="eastAsia" w:ascii="宋体" w:hAnsi="宋体" w:eastAsia="宋体" w:cs="Times New Roman"/>
          <w:color w:val="auto"/>
          <w:sz w:val="21"/>
          <w:szCs w:val="21"/>
          <w:highlight w:val="none"/>
        </w:rPr>
        <w:t>注：</w:t>
      </w:r>
      <w:r>
        <w:rPr>
          <w:rFonts w:hint="eastAsia" w:ascii="宋体" w:hAnsi="宋体" w:eastAsia="宋体"/>
          <w:color w:val="auto"/>
          <w:sz w:val="21"/>
          <w:szCs w:val="21"/>
          <w:highlight w:val="none"/>
        </w:rPr>
        <w:t>如本项目不涉及此表内容，则无需提供此表。</w:t>
      </w:r>
    </w:p>
    <w:p>
      <w:pPr>
        <w:rPr>
          <w:rFonts w:hint="eastAsia" w:ascii="宋体" w:hAnsi="宋体" w:eastAsia="宋体" w:cs="Times New Roman"/>
          <w:color w:val="auto"/>
          <w:sz w:val="21"/>
          <w:szCs w:val="21"/>
          <w:highlight w:val="none"/>
        </w:rPr>
      </w:pPr>
    </w:p>
    <w:p>
      <w:pPr>
        <w:rPr>
          <w:rFonts w:hint="eastAsia" w:ascii="宋体" w:hAnsi="宋体" w:eastAsia="宋体" w:cs="Times New Roman"/>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s="Times New Roman"/>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代表签字：</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宋体" w:hAnsi="宋体" w:eastAsia="宋体"/>
          <w:color w:val="auto"/>
          <w:sz w:val="21"/>
          <w:szCs w:val="21"/>
          <w:highlight w:val="none"/>
        </w:rPr>
      </w:pPr>
      <w:r>
        <w:rPr>
          <w:rFonts w:hint="eastAsia" w:ascii="宋体" w:hAnsi="宋体" w:cs="Times New Roman"/>
          <w:color w:val="auto"/>
          <w:sz w:val="21"/>
          <w:szCs w:val="21"/>
          <w:highlight w:val="none"/>
          <w:lang w:eastAsia="zh-CN"/>
        </w:rPr>
        <w:t>供应商</w:t>
      </w:r>
      <w:r>
        <w:rPr>
          <w:rFonts w:hint="eastAsia" w:ascii="宋体" w:hAnsi="宋体" w:eastAsia="宋体" w:cs="Times New Roman"/>
          <w:color w:val="auto"/>
          <w:sz w:val="21"/>
          <w:szCs w:val="21"/>
          <w:highlight w:val="none"/>
        </w:rPr>
        <w:t>盖章：</w:t>
      </w: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6" w:name="_Toc21541"/>
      <w:bookmarkStart w:id="397" w:name="_Toc15352"/>
      <w:r>
        <w:rPr>
          <w:rFonts w:hint="eastAsia"/>
          <w:color w:val="auto"/>
          <w:highlight w:val="none"/>
          <w:lang w:val="en-US" w:eastAsia="zh-CN"/>
        </w:rPr>
        <w:t>七、磋商保证金汇入情况说明</w:t>
      </w:r>
      <w:bookmarkEnd w:id="396"/>
      <w:bookmarkEnd w:id="397"/>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广东政通招标有限公司</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）的</w:t>
      </w:r>
      <w:r>
        <w:rPr>
          <w:rFonts w:hint="eastAsia" w:ascii="宋体" w:hAnsi="宋体"/>
          <w:color w:val="auto"/>
          <w:sz w:val="21"/>
          <w:szCs w:val="21"/>
          <w:highlight w:val="none"/>
          <w:lang w:eastAsia="zh-CN"/>
        </w:rPr>
        <w:t>磋商文件</w:t>
      </w:r>
      <w:r>
        <w:rPr>
          <w:rFonts w:hint="eastAsia" w:ascii="宋体" w:hAnsi="宋体" w:eastAsia="宋体"/>
          <w:color w:val="auto"/>
          <w:sz w:val="21"/>
          <w:szCs w:val="21"/>
          <w:highlight w:val="none"/>
        </w:rPr>
        <w:t>要求，于</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保证金的汇款情况：（详见附件－</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保证金进帐单）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汇款金额：</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（大写）人民币（小写：￥</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 xml:space="preserve">时使用的帐户名）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w:t>
      </w:r>
      <w:r>
        <w:rPr>
          <w:rFonts w:hint="eastAsia" w:ascii="宋体" w:hAnsi="宋体"/>
          <w:color w:val="auto"/>
          <w:sz w:val="21"/>
          <w:szCs w:val="21"/>
          <w:highlight w:val="none"/>
          <w:u w:val="single"/>
          <w:lang w:eastAsia="zh-CN"/>
        </w:rPr>
        <w:t>响应</w:t>
      </w:r>
      <w:r>
        <w:rPr>
          <w:rFonts w:hint="eastAsia" w:ascii="宋体" w:hAnsi="宋体" w:eastAsia="宋体"/>
          <w:color w:val="auto"/>
          <w:sz w:val="21"/>
          <w:szCs w:val="21"/>
          <w:highlight w:val="none"/>
          <w:u w:val="single"/>
        </w:rPr>
        <w:t xml:space="preserve">时使用的帐号）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保证金退回时，请按上述资料退回。</w:t>
      </w:r>
    </w:p>
    <w:p>
      <w:pPr>
        <w:spacing w:after="0" w:line="480" w:lineRule="auto"/>
        <w:ind w:right="84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28" w:rightChars="299"/>
        <w:jc w:val="center"/>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年 月 日</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w:t>
      </w:r>
      <w:r>
        <w:rPr>
          <w:rFonts w:hint="eastAsia" w:ascii="宋体" w:hAnsi="宋体"/>
          <w:color w:val="auto"/>
          <w:sz w:val="21"/>
          <w:szCs w:val="21"/>
          <w:highlight w:val="none"/>
          <w:lang w:eastAsia="zh-CN"/>
        </w:rPr>
        <w:t>磋商</w:t>
      </w:r>
      <w:r>
        <w:rPr>
          <w:rFonts w:hint="eastAsia" w:ascii="宋体" w:hAnsi="宋体" w:eastAsia="宋体"/>
          <w:color w:val="auto"/>
          <w:sz w:val="21"/>
          <w:szCs w:val="21"/>
          <w:highlight w:val="none"/>
        </w:rPr>
        <w:t>保证金汇款凭证</w:t>
      </w:r>
    </w:p>
    <w:tbl>
      <w:tblPr>
        <w:tblStyle w:val="2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316"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w:t>
            </w:r>
            <w:r>
              <w:rPr>
                <w:rFonts w:hint="eastAsia" w:ascii="宋体" w:hAnsi="宋体"/>
                <w:color w:val="auto"/>
                <w:sz w:val="21"/>
                <w:szCs w:val="21"/>
                <w:highlight w:val="none"/>
                <w:lang w:eastAsia="zh-CN"/>
              </w:rPr>
              <w:t>供应商</w:t>
            </w:r>
            <w:r>
              <w:rPr>
                <w:rFonts w:hint="eastAsia" w:ascii="宋体" w:hAnsi="宋体" w:eastAsia="宋体"/>
                <w:color w:val="auto"/>
                <w:sz w:val="21"/>
                <w:szCs w:val="21"/>
                <w:highlight w:val="none"/>
              </w:rPr>
              <w:t>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注：</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此表既要装订在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中，又要按</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须知的规定与</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一览表</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保证金汇款底单复印件及授权委托书一同密封装入</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文件</w:t>
      </w:r>
      <w:r>
        <w:rPr>
          <w:rFonts w:hint="eastAsia" w:ascii="宋体" w:hAnsi="宋体" w:eastAsia="宋体"/>
          <w:b/>
          <w:bCs/>
          <w:color w:val="auto"/>
          <w:sz w:val="21"/>
          <w:szCs w:val="21"/>
          <w:highlight w:val="none"/>
        </w:rPr>
        <w:t>，</w:t>
      </w:r>
      <w:r>
        <w:rPr>
          <w:rFonts w:hint="eastAsia" w:ascii="宋体" w:hAnsi="宋体"/>
          <w:b/>
          <w:bCs/>
          <w:color w:val="auto"/>
          <w:sz w:val="21"/>
          <w:szCs w:val="21"/>
          <w:highlight w:val="none"/>
          <w:lang w:eastAsia="zh-CN"/>
        </w:rPr>
        <w:t>报价</w:t>
      </w:r>
      <w:r>
        <w:rPr>
          <w:rFonts w:hint="eastAsia" w:ascii="宋体" w:hAnsi="宋体" w:eastAsia="宋体"/>
          <w:b/>
          <w:bCs/>
          <w:color w:val="auto"/>
          <w:sz w:val="21"/>
          <w:szCs w:val="21"/>
          <w:highlight w:val="none"/>
          <w:lang w:eastAsia="zh-CN"/>
        </w:rPr>
        <w:t>文件</w:t>
      </w:r>
      <w:r>
        <w:rPr>
          <w:rFonts w:hint="eastAsia" w:ascii="宋体" w:hAnsi="宋体" w:eastAsia="宋体"/>
          <w:b/>
          <w:bCs/>
          <w:color w:val="auto"/>
          <w:sz w:val="21"/>
          <w:szCs w:val="21"/>
          <w:highlight w:val="none"/>
        </w:rPr>
        <w:t>单独提交。</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lang w:val="en-US" w:eastAsia="zh-CN"/>
        </w:rPr>
        <w:t>2</w:t>
      </w:r>
      <w:r>
        <w:rPr>
          <w:rFonts w:hint="eastAsia" w:ascii="宋体" w:hAnsi="宋体" w:eastAsia="宋体"/>
          <w:b/>
          <w:bCs/>
          <w:color w:val="auto"/>
          <w:sz w:val="21"/>
          <w:szCs w:val="21"/>
          <w:highlight w:val="none"/>
          <w:lang w:eastAsia="zh-CN"/>
        </w:rPr>
        <w:t>）</w:t>
      </w:r>
      <w:r>
        <w:rPr>
          <w:rFonts w:hint="eastAsia" w:ascii="宋体" w:hAnsi="宋体" w:eastAsia="宋体"/>
          <w:b/>
          <w:bCs/>
          <w:color w:val="auto"/>
          <w:sz w:val="21"/>
          <w:szCs w:val="21"/>
          <w:highlight w:val="none"/>
        </w:rPr>
        <w:t>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保证金，则无需在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中提供此格式。</w:t>
      </w:r>
    </w:p>
    <w:p>
      <w:pPr>
        <w:rPr>
          <w:rFonts w:ascii="黑体" w:eastAsia="黑体"/>
          <w:color w:val="auto"/>
          <w:sz w:val="28"/>
          <w:szCs w:val="28"/>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398" w:name="_Toc4096"/>
      <w:bookmarkStart w:id="399" w:name="_Toc24545"/>
      <w:r>
        <w:rPr>
          <w:rFonts w:hint="eastAsia"/>
          <w:color w:val="auto"/>
          <w:highlight w:val="none"/>
          <w:lang w:val="en-US" w:eastAsia="zh-CN"/>
        </w:rPr>
        <w:t>八、政府采购磋商担保函</w:t>
      </w:r>
      <w:bookmarkEnd w:id="398"/>
      <w:bookmarkEnd w:id="399"/>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，根据本项目</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，供应商参加</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时应向你方交纳</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保证金，且可以</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担保函的形式交纳</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保证金。应供应商的申请，我方以保证的方式向你方提供如下</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规定的</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向你方支付</w:t>
      </w:r>
      <w:r>
        <w:rPr>
          <w:rFonts w:hint="eastAsia" w:ascii="宋体" w:hAnsi="宋体" w:cs="宋体"/>
          <w:color w:val="auto"/>
          <w:sz w:val="21"/>
          <w:szCs w:val="21"/>
          <w:highlight w:val="none"/>
          <w:lang w:eastAsia="zh-CN"/>
        </w:rPr>
        <w:t>磋商</w:t>
      </w:r>
      <w:r>
        <w:rPr>
          <w:rFonts w:hint="eastAsia" w:ascii="宋体" w:hAnsi="宋体" w:eastAsia="宋体" w:cs="宋体"/>
          <w:color w:val="auto"/>
          <w:sz w:val="21"/>
          <w:szCs w:val="21"/>
          <w:highlight w:val="none"/>
        </w:rPr>
        <w:t>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的另行约定，全部或者部分免除</w:t>
      </w:r>
      <w:r>
        <w:rPr>
          <w:rFonts w:hint="eastAsia" w:ascii="宋体" w:hAnsi="宋体" w:cs="宋体"/>
          <w:color w:val="auto"/>
          <w:sz w:val="21"/>
          <w:szCs w:val="21"/>
          <w:highlight w:val="none"/>
          <w:lang w:eastAsia="zh-CN"/>
        </w:rPr>
        <w:t>供应商磋商</w:t>
      </w:r>
      <w:r>
        <w:rPr>
          <w:rFonts w:hint="eastAsia" w:ascii="宋体" w:hAnsi="宋体" w:eastAsia="宋体" w:cs="宋体"/>
          <w:color w:val="auto"/>
          <w:sz w:val="21"/>
          <w:szCs w:val="21"/>
          <w:highlight w:val="none"/>
        </w:rPr>
        <w:t>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w:t>
      </w:r>
      <w:r>
        <w:rPr>
          <w:rFonts w:hint="eastAsia" w:ascii="宋体" w:hAnsi="宋体" w:cs="宋体"/>
          <w:color w:val="auto"/>
          <w:sz w:val="21"/>
          <w:szCs w:val="21"/>
          <w:highlight w:val="none"/>
          <w:lang w:eastAsia="zh-CN"/>
        </w:rPr>
        <w:t>磋商文件</w:t>
      </w:r>
      <w:r>
        <w:rPr>
          <w:rFonts w:hint="eastAsia" w:ascii="宋体" w:hAnsi="宋体" w:eastAsia="宋体" w:cs="宋体"/>
          <w:color w:val="auto"/>
          <w:sz w:val="21"/>
          <w:szCs w:val="21"/>
          <w:highlight w:val="none"/>
        </w:rPr>
        <w:t>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注：</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（1）若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不以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保证金，则无需在</w:t>
      </w:r>
      <w:r>
        <w:rPr>
          <w:rFonts w:hint="eastAsia" w:ascii="宋体" w:hAnsi="宋体"/>
          <w:b/>
          <w:bCs/>
          <w:color w:val="auto"/>
          <w:sz w:val="21"/>
          <w:szCs w:val="21"/>
          <w:highlight w:val="none"/>
          <w:lang w:eastAsia="zh-CN"/>
        </w:rPr>
        <w:t>响应文件</w:t>
      </w:r>
      <w:r>
        <w:rPr>
          <w:rFonts w:hint="eastAsia" w:ascii="宋体" w:hAnsi="宋体" w:eastAsia="宋体"/>
          <w:b/>
          <w:bCs/>
          <w:color w:val="auto"/>
          <w:sz w:val="21"/>
          <w:szCs w:val="21"/>
          <w:highlight w:val="none"/>
        </w:rPr>
        <w:t>中提供此格式。</w:t>
      </w:r>
    </w:p>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textAlignment w:val="auto"/>
        <w:rPr>
          <w:rFonts w:hint="eastAsia"/>
          <w:color w:val="auto"/>
          <w:highlight w:val="none"/>
        </w:rPr>
      </w:pPr>
      <w:r>
        <w:rPr>
          <w:rFonts w:hint="eastAsia" w:ascii="宋体" w:hAnsi="宋体" w:eastAsia="宋体"/>
          <w:b/>
          <w:bCs/>
          <w:color w:val="auto"/>
          <w:sz w:val="21"/>
          <w:szCs w:val="21"/>
          <w:highlight w:val="none"/>
        </w:rPr>
        <w:t>（2）若</w:t>
      </w:r>
      <w:r>
        <w:rPr>
          <w:rFonts w:hint="eastAsia" w:ascii="宋体" w:hAnsi="宋体"/>
          <w:b/>
          <w:bCs/>
          <w:color w:val="auto"/>
          <w:sz w:val="21"/>
          <w:szCs w:val="21"/>
          <w:highlight w:val="none"/>
          <w:lang w:eastAsia="zh-CN"/>
        </w:rPr>
        <w:t>供应商</w:t>
      </w:r>
      <w:r>
        <w:rPr>
          <w:rFonts w:hint="eastAsia" w:ascii="宋体" w:hAnsi="宋体" w:eastAsia="宋体"/>
          <w:b/>
          <w:bCs/>
          <w:color w:val="auto"/>
          <w:sz w:val="21"/>
          <w:szCs w:val="21"/>
          <w:highlight w:val="none"/>
        </w:rPr>
        <w:t>以</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担保函形式提交</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保证金，则应将</w:t>
      </w:r>
      <w:r>
        <w:rPr>
          <w:rFonts w:hint="eastAsia" w:ascii="宋体" w:hAnsi="宋体"/>
          <w:b/>
          <w:bCs/>
          <w:color w:val="auto"/>
          <w:sz w:val="21"/>
          <w:szCs w:val="21"/>
          <w:highlight w:val="none"/>
          <w:lang w:eastAsia="zh-CN"/>
        </w:rPr>
        <w:t>磋商</w:t>
      </w:r>
      <w:r>
        <w:rPr>
          <w:rFonts w:hint="eastAsia" w:ascii="宋体" w:hAnsi="宋体" w:eastAsia="宋体"/>
          <w:b/>
          <w:bCs/>
          <w:color w:val="auto"/>
          <w:sz w:val="21"/>
          <w:szCs w:val="21"/>
          <w:highlight w:val="none"/>
        </w:rPr>
        <w:t>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0" w:name="_Toc31841"/>
      <w:r>
        <w:rPr>
          <w:rFonts w:hint="eastAsia"/>
          <w:color w:val="auto"/>
          <w:highlight w:val="none"/>
          <w:lang w:val="en-US" w:eastAsia="zh-CN"/>
        </w:rPr>
        <w:t>九、政府采购履约担保函</w:t>
      </w:r>
      <w:bookmarkEnd w:id="400"/>
    </w:p>
    <w:p>
      <w:pPr>
        <w:keepNext w:val="0"/>
        <w:keepLines w:val="0"/>
        <w:pageBreakBefore w:val="0"/>
        <w:widowControl/>
        <w:kinsoku/>
        <w:wordWrap w:val="0"/>
        <w:overflowPunct/>
        <w:topLinePunct w:val="0"/>
        <w:autoSpaceDE/>
        <w:autoSpaceDN/>
        <w:bidi w:val="0"/>
        <w:adjustRightInd w:val="0"/>
        <w:snapToGrid w:val="0"/>
        <w:spacing w:line="360" w:lineRule="auto"/>
        <w:ind w:right="0" w:rightChars="0"/>
        <w:jc w:val="right"/>
        <w:textAlignment w:val="auto"/>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w:t>
      </w:r>
      <w:r>
        <w:rPr>
          <w:rFonts w:hint="eastAsia" w:ascii="宋体" w:hAnsi="宋体" w:cs="宋体"/>
          <w:color w:val="auto"/>
          <w:sz w:val="21"/>
          <w:szCs w:val="21"/>
          <w:highlight w:val="none"/>
          <w:lang w:eastAsia="zh-CN"/>
        </w:rPr>
        <w:t>响应文件</w:t>
      </w:r>
      <w:r>
        <w:rPr>
          <w:rFonts w:hint="eastAsia" w:ascii="宋体" w:hAnsi="宋体" w:eastAsia="宋体" w:cs="宋体"/>
          <w:color w:val="auto"/>
          <w:sz w:val="21"/>
          <w:szCs w:val="21"/>
          <w:highlight w:val="none"/>
        </w:rPr>
        <w:t>中未说明，且未经采购招标机构人同意，将中标项目分包给他人的；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2" w:firstLineChars="200"/>
        <w:textAlignment w:val="auto"/>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s="宋体"/>
          <w:color w:val="auto"/>
          <w:sz w:val="21"/>
          <w:szCs w:val="21"/>
          <w:highlight w:val="none"/>
        </w:rPr>
      </w:pP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keepNext w:val="0"/>
        <w:keepLines w:val="0"/>
        <w:pageBreakBefore w:val="0"/>
        <w:widowControl/>
        <w:kinsoku/>
        <w:overflowPunct/>
        <w:topLinePunct w:val="0"/>
        <w:autoSpaceDE/>
        <w:autoSpaceDN/>
        <w:bidi w:val="0"/>
        <w:adjustRightInd w:val="0"/>
        <w:snapToGrid w:val="0"/>
        <w:spacing w:after="0" w:line="360" w:lineRule="auto"/>
        <w:ind w:right="0" w:rightChars="0"/>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keepNext w:val="0"/>
        <w:keepLines w:val="0"/>
        <w:pageBreakBefore w:val="0"/>
        <w:widowControl/>
        <w:kinsoku/>
        <w:overflowPunct/>
        <w:topLinePunct w:val="0"/>
        <w:autoSpaceDE/>
        <w:autoSpaceDN/>
        <w:bidi w:val="0"/>
        <w:adjustRightInd w:val="0"/>
        <w:snapToGrid w:val="0"/>
        <w:spacing w:after="0" w:line="360" w:lineRule="auto"/>
        <w:ind w:right="0" w:right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kinsoku/>
        <w:overflowPunct/>
        <w:topLinePunct w:val="0"/>
        <w:autoSpaceDE/>
        <w:autoSpaceDN/>
        <w:bidi w:val="0"/>
        <w:adjustRightInd w:val="0"/>
        <w:snapToGrid w:val="0"/>
        <w:spacing w:after="0" w:line="360" w:lineRule="auto"/>
        <w:ind w:right="0" w:rightChars="0"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w:t>
      </w:r>
      <w:r>
        <w:rPr>
          <w:rFonts w:hint="eastAsia" w:ascii="宋体" w:hAnsi="宋体"/>
          <w:color w:val="auto"/>
          <w:sz w:val="21"/>
          <w:szCs w:val="21"/>
          <w:highlight w:val="none"/>
          <w:lang w:eastAsia="zh-CN"/>
        </w:rPr>
        <w:t>响应文件</w:t>
      </w:r>
      <w:r>
        <w:rPr>
          <w:rFonts w:hint="eastAsia" w:ascii="宋体" w:hAnsi="宋体" w:eastAsia="宋体"/>
          <w:color w:val="auto"/>
          <w:sz w:val="21"/>
          <w:szCs w:val="21"/>
          <w:highlight w:val="none"/>
        </w:rPr>
        <w:t>中提供此格式。</w:t>
      </w:r>
    </w:p>
    <w:p>
      <w:pPr>
        <w:pStyle w:val="7"/>
        <w:rPr>
          <w:color w:val="auto"/>
          <w:highlight w:val="none"/>
        </w:rPr>
      </w:pPr>
    </w:p>
    <w:p>
      <w:pPr>
        <w:bidi w:val="0"/>
        <w:rPr>
          <w:color w:val="auto"/>
          <w:highlight w:val="none"/>
        </w:rPr>
      </w:pPr>
      <w:r>
        <w:rPr>
          <w:color w:val="auto"/>
          <w:highlight w:val="none"/>
        </w:rPr>
        <w:br w:type="page"/>
      </w: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1" w:name="_Toc17348"/>
      <w:bookmarkStart w:id="402" w:name="_Toc26782"/>
      <w:r>
        <w:rPr>
          <w:rFonts w:hint="eastAsia"/>
          <w:color w:val="auto"/>
          <w:highlight w:val="none"/>
          <w:lang w:val="en-US" w:eastAsia="zh-CN"/>
        </w:rPr>
        <w:t>第四章报价信封（单独封装）</w:t>
      </w:r>
      <w:bookmarkEnd w:id="401"/>
      <w:bookmarkEnd w:id="402"/>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（1）开标一览表；</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color w:val="auto"/>
          <w:highlight w:val="none"/>
        </w:rPr>
      </w:pPr>
      <w:r>
        <w:rPr>
          <w:rFonts w:hint="eastAsia"/>
          <w:color w:val="auto"/>
          <w:highlight w:val="none"/>
        </w:rPr>
        <w:t>（2）法人代表授权书</w:t>
      </w:r>
      <w:r>
        <w:rPr>
          <w:rFonts w:hint="eastAsia"/>
          <w:color w:val="auto"/>
          <w:highlight w:val="none"/>
          <w:lang w:val="en-US" w:eastAsia="zh-CN"/>
        </w:rPr>
        <w:t>及</w:t>
      </w:r>
      <w:r>
        <w:rPr>
          <w:rFonts w:hint="eastAsia"/>
          <w:color w:val="auto"/>
          <w:highlight w:val="none"/>
        </w:rPr>
        <w:t>被授权代表身份证（复印件加盖公章）；</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color w:val="auto"/>
          <w:highlight w:val="none"/>
          <w:lang w:val="en-US" w:eastAsia="zh-CN"/>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lang w:eastAsia="zh-CN"/>
        </w:rPr>
        <w:t>磋商</w:t>
      </w:r>
      <w:r>
        <w:rPr>
          <w:rFonts w:hint="eastAsia"/>
          <w:color w:val="auto"/>
          <w:highlight w:val="none"/>
        </w:rPr>
        <w:t>保证金汇入情况说明</w:t>
      </w:r>
      <w:r>
        <w:rPr>
          <w:rFonts w:hint="eastAsia"/>
          <w:color w:val="auto"/>
          <w:highlight w:val="none"/>
          <w:lang w:val="en-US" w:eastAsia="zh-CN"/>
        </w:rPr>
        <w:t>及</w:t>
      </w:r>
      <w:r>
        <w:rPr>
          <w:rFonts w:hint="eastAsia"/>
          <w:color w:val="auto"/>
          <w:highlight w:val="none"/>
          <w:lang w:eastAsia="zh-CN"/>
        </w:rPr>
        <w:t>磋商</w:t>
      </w:r>
      <w:r>
        <w:rPr>
          <w:rFonts w:hint="eastAsia"/>
          <w:color w:val="auto"/>
          <w:highlight w:val="none"/>
        </w:rPr>
        <w:t>保证金汇款底单（复印件加盖公章）</w:t>
      </w:r>
      <w:r>
        <w:rPr>
          <w:rFonts w:hint="eastAsia"/>
          <w:color w:val="auto"/>
          <w:highlight w:val="none"/>
          <w:lang w:eastAsia="zh-CN"/>
        </w:rPr>
        <w:t>，</w:t>
      </w:r>
      <w:r>
        <w:rPr>
          <w:rFonts w:hint="eastAsia"/>
          <w:color w:val="auto"/>
          <w:highlight w:val="none"/>
          <w:lang w:val="en-US" w:eastAsia="zh-CN"/>
        </w:rPr>
        <w:t>或《政府采购磋商担保函》复印件。</w:t>
      </w: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rFonts w:hint="eastAsia"/>
          <w:color w:val="auto"/>
          <w:highlight w:val="none"/>
        </w:rPr>
      </w:pPr>
      <w:bookmarkStart w:id="403" w:name="_Toc11182"/>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bidi w:val="0"/>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4"/>
        <w:keepNext/>
        <w:keepLines/>
        <w:pageBreakBefore w:val="0"/>
        <w:widowControl/>
        <w:kinsoku/>
        <w:wordWrap/>
        <w:overflowPunct/>
        <w:topLinePunct w:val="0"/>
        <w:autoSpaceDE/>
        <w:autoSpaceDN/>
        <w:bidi w:val="0"/>
        <w:adjustRightInd w:val="0"/>
        <w:snapToGrid w:val="0"/>
        <w:spacing w:after="0"/>
        <w:jc w:val="center"/>
        <w:textAlignment w:val="auto"/>
        <w:rPr>
          <w:rFonts w:hint="eastAsia"/>
          <w:color w:val="auto"/>
          <w:highlight w:val="none"/>
          <w:lang w:val="en-US" w:eastAsia="zh-CN"/>
        </w:rPr>
      </w:pPr>
      <w:bookmarkStart w:id="404" w:name="_Toc13881"/>
      <w:bookmarkStart w:id="405" w:name="_Toc22736"/>
      <w:r>
        <w:rPr>
          <w:rFonts w:hint="eastAsia"/>
          <w:color w:val="auto"/>
          <w:highlight w:val="none"/>
          <w:lang w:val="en-US" w:eastAsia="zh-CN"/>
        </w:rPr>
        <w:t>第五章联合体共同报价协议书（如有需要）</w:t>
      </w:r>
      <w:bookmarkEnd w:id="404"/>
      <w:bookmarkEnd w:id="405"/>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u w:val="single"/>
          <w:lang w:eastAsia="zh-CN"/>
        </w:rPr>
      </w:pPr>
      <w:r>
        <w:rPr>
          <w:rFonts w:hint="eastAsia" w:ascii="宋体" w:hAnsi="宋体" w:eastAsia="宋体" w:cs="宋体"/>
          <w:color w:val="auto"/>
          <w:kern w:val="0"/>
          <w:sz w:val="21"/>
          <w:szCs w:val="21"/>
          <w:highlight w:val="none"/>
          <w:u w:val="single"/>
        </w:rPr>
        <w:t>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采购人</w:t>
      </w:r>
      <w:r>
        <w:rPr>
          <w:rFonts w:hint="eastAsia" w:ascii="宋体" w:hAnsi="宋体" w:eastAsia="宋体" w:cs="宋体"/>
          <w:color w:val="auto"/>
          <w:kern w:val="0"/>
          <w:sz w:val="21"/>
          <w:szCs w:val="21"/>
          <w:highlight w:val="none"/>
          <w:u w:val="singl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kern w:val="0"/>
          <w:sz w:val="21"/>
          <w:szCs w:val="21"/>
          <w:highlight w:val="none"/>
        </w:rPr>
        <w:t>共同组成一个联合体，</w:t>
      </w:r>
      <w:r>
        <w:rPr>
          <w:rFonts w:hint="eastAsia" w:ascii="宋体" w:hAnsi="宋体" w:eastAsia="宋体" w:cs="宋体"/>
          <w:color w:val="auto"/>
          <w:kern w:val="10"/>
          <w:sz w:val="21"/>
          <w:szCs w:val="21"/>
          <w:highlight w:val="none"/>
        </w:rPr>
        <w:t>以一个</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供应商的身份共同</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u w:val="single"/>
        </w:rPr>
        <w:t>（采购项目名称）</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（采购项目编号）</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lang w:eastAsia="zh-CN"/>
        </w:rPr>
        <w:t>报价</w:t>
      </w:r>
      <w:r>
        <w:rPr>
          <w:rFonts w:hint="eastAsia" w:ascii="宋体" w:hAnsi="宋体" w:eastAsia="宋体" w:cs="宋体"/>
          <w:color w:val="auto"/>
          <w:kern w:val="0"/>
          <w:sz w:val="21"/>
          <w:szCs w:val="21"/>
          <w:highlight w:val="none"/>
        </w:rPr>
        <w:t>响应。</w:t>
      </w:r>
      <w:r>
        <w:rPr>
          <w:rFonts w:hint="eastAsia" w:ascii="宋体" w:hAnsi="宋体" w:eastAsia="宋体" w:cs="宋体"/>
          <w:color w:val="auto"/>
          <w:sz w:val="21"/>
          <w:szCs w:val="21"/>
          <w:highlight w:val="none"/>
        </w:rPr>
        <w:t>经协商一致，就本</w:t>
      </w:r>
      <w:r>
        <w:rPr>
          <w:rFonts w:hint="eastAsia" w:ascii="宋体" w:hAnsi="宋体" w:eastAsia="宋体" w:cs="宋体"/>
          <w:color w:val="auto"/>
          <w:kern w:val="10"/>
          <w:sz w:val="21"/>
          <w:szCs w:val="21"/>
          <w:highlight w:val="none"/>
        </w:rPr>
        <w:t>项目的</w:t>
      </w:r>
      <w:r>
        <w:rPr>
          <w:rFonts w:hint="eastAsia" w:ascii="宋体" w:hAnsi="宋体" w:cs="宋体"/>
          <w:color w:val="auto"/>
          <w:kern w:val="10"/>
          <w:sz w:val="21"/>
          <w:szCs w:val="21"/>
          <w:highlight w:val="none"/>
          <w:lang w:eastAsia="zh-CN"/>
        </w:rPr>
        <w:t>报价</w:t>
      </w:r>
      <w:r>
        <w:rPr>
          <w:rFonts w:hint="eastAsia" w:ascii="宋体" w:hAnsi="宋体" w:eastAsia="宋体" w:cs="宋体"/>
          <w:color w:val="auto"/>
          <w:kern w:val="10"/>
          <w:sz w:val="21"/>
          <w:szCs w:val="21"/>
          <w:highlight w:val="none"/>
        </w:rPr>
        <w:t>响应和合同实施阶段的有关事务</w:t>
      </w:r>
      <w:r>
        <w:rPr>
          <w:rFonts w:hint="eastAsia" w:ascii="宋体" w:hAnsi="宋体" w:eastAsia="宋体" w:cs="宋体"/>
          <w:color w:val="auto"/>
          <w:kern w:val="0"/>
          <w:sz w:val="21"/>
          <w:szCs w:val="21"/>
          <w:highlight w:val="none"/>
        </w:rPr>
        <w:t>订立协议如下</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一、联合体各方关系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（甲公司全称）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（乙公司全称）</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（……公司全称）</w:t>
      </w:r>
      <w:r>
        <w:rPr>
          <w:rFonts w:hint="eastAsia" w:ascii="宋体" w:hAnsi="宋体" w:eastAsia="宋体" w:cs="宋体"/>
          <w:color w:val="auto"/>
          <w:sz w:val="21"/>
          <w:szCs w:val="21"/>
          <w:highlight w:val="none"/>
        </w:rPr>
        <w:t>作为联合体成员，若中标、成交，联合体各方共同与采购人签订政府采购合同。其中</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是联合体牵头方，</w:t>
      </w:r>
      <w:r>
        <w:rPr>
          <w:rFonts w:hint="eastAsia" w:ascii="宋体" w:hAnsi="宋体" w:eastAsia="宋体" w:cs="宋体"/>
          <w:color w:val="auto"/>
          <w:sz w:val="21"/>
          <w:szCs w:val="21"/>
          <w:highlight w:val="none"/>
          <w:u w:val="single"/>
        </w:rPr>
        <w:t xml:space="preserve">（…公司全称）   </w:t>
      </w:r>
      <w:r>
        <w:rPr>
          <w:rFonts w:hint="eastAsia" w:ascii="宋体" w:hAnsi="宋体" w:eastAsia="宋体" w:cs="宋体"/>
          <w:color w:val="auto"/>
          <w:sz w:val="21"/>
          <w:szCs w:val="21"/>
          <w:highlight w:val="none"/>
        </w:rPr>
        <w:t>是联合体其他成员方。</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二、联合体内部有关事项约定如下：</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1.联合体由联合体共同授权人员负责与采购人联系。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w:t>
      </w:r>
      <w:r>
        <w:rPr>
          <w:rFonts w:hint="eastAsia" w:ascii="宋体" w:hAnsi="宋体" w:cs="宋体"/>
          <w:color w:val="auto"/>
          <w:sz w:val="21"/>
          <w:szCs w:val="21"/>
          <w:highlight w:val="none"/>
          <w:lang w:eastAsia="zh-CN"/>
        </w:rPr>
        <w:t>报价</w:t>
      </w:r>
      <w:r>
        <w:rPr>
          <w:rFonts w:hint="eastAsia" w:ascii="宋体" w:hAnsi="宋体" w:eastAsia="宋体" w:cs="宋体"/>
          <w:color w:val="auto"/>
          <w:sz w:val="21"/>
          <w:szCs w:val="21"/>
          <w:highlight w:val="none"/>
        </w:rPr>
        <w:t>工作由联合体共同负责，由联合体各方组成的响应小组具体实施。</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3.联合体将严格按照文件的各项要求，递交响应文件，切实执行一切合同文件，共同承担合同规定的一切义务和责任，同时按照内部职责的划分，承担自身所负的责任和风险，在法律在承担连带责任。</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4.联合体内部各自按下列分工负责项目工作：</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（…公司全称）承担本项目</w:t>
      </w:r>
      <w:r>
        <w:rPr>
          <w:rFonts w:hint="eastAsia" w:ascii="宋体" w:hAnsi="宋体" w:eastAsia="宋体" w:cs="宋体"/>
          <w:color w:val="auto"/>
          <w:sz w:val="21"/>
          <w:szCs w:val="21"/>
          <w:highlight w:val="none"/>
          <w:u w:val="single"/>
        </w:rPr>
        <w:t xml:space="preserve">        （填写分工内容）        </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5.联合体成员</w:t>
      </w:r>
      <w:r>
        <w:rPr>
          <w:rFonts w:hint="eastAsia" w:ascii="宋体" w:hAnsi="宋体" w:eastAsia="宋体" w:cs="宋体"/>
          <w:color w:val="auto"/>
          <w:sz w:val="21"/>
          <w:szCs w:val="21"/>
          <w:highlight w:val="none"/>
          <w:u w:val="single"/>
        </w:rPr>
        <w:t>　（公司全称）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u w:val="single"/>
        </w:rPr>
        <w:t>（请填写：小型、微型）</w:t>
      </w:r>
      <w:r>
        <w:rPr>
          <w:rFonts w:hint="eastAsia" w:ascii="宋体" w:hAnsi="宋体" w:eastAsia="宋体" w:cs="宋体"/>
          <w:color w:val="auto"/>
          <w:sz w:val="21"/>
          <w:szCs w:val="21"/>
          <w:highlight w:val="none"/>
        </w:rPr>
        <w:t>企业，将承担合同总金额</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%的工作内容（联合体成员中有小型、微型企业时适用）。</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四、联合体如因违约过失责任而导致采购人经济损失或被索赔时，本联合体任何一方均同意无条件优先清偿采购人的一切债务和经济赔偿。</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五、</w:t>
      </w:r>
      <w:r>
        <w:rPr>
          <w:rFonts w:hint="eastAsia" w:ascii="宋体" w:hAnsi="宋体" w:eastAsia="宋体" w:cs="宋体"/>
          <w:color w:val="auto"/>
          <w:sz w:val="21"/>
          <w:szCs w:val="21"/>
          <w:highlight w:val="none"/>
        </w:rPr>
        <w:t>本协议在自签署之日起生效，响应有效期内有效。如获中标、成交资格，本协议有效期延续至采购合同履行完毕之日。</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六、本协议书一式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份，随响应文件装订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份，联合体成员各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甲公司全称：（盖章） </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乙公司全称：（盖章）</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……公司全称（盖章）</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盖章</w:t>
      </w:r>
      <w:r>
        <w:rPr>
          <w:rFonts w:hint="eastAsia" w:ascii="宋体" w:hAnsi="宋体" w:eastAsia="宋体" w:cs="宋体"/>
          <w:color w:val="auto"/>
          <w:kern w:val="0"/>
          <w:sz w:val="21"/>
          <w:szCs w:val="21"/>
          <w:highlight w:val="none"/>
        </w:rPr>
        <w:t>）法定代表人（签字或</w:t>
      </w:r>
      <w:r>
        <w:rPr>
          <w:rFonts w:hint="eastAsia" w:ascii="宋体" w:hAnsi="宋体" w:eastAsia="宋体" w:cs="宋体"/>
          <w:color w:val="auto"/>
          <w:sz w:val="21"/>
          <w:szCs w:val="21"/>
          <w:highlight w:val="none"/>
        </w:rPr>
        <w:t>盖</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w:t>
      </w:r>
    </w:p>
    <w:p>
      <w:pPr>
        <w:keepNext w:val="0"/>
        <w:keepLines w:val="0"/>
        <w:pageBreakBefore w:val="0"/>
        <w:widowControl/>
        <w:tabs>
          <w:tab w:val="left" w:pos="2977"/>
          <w:tab w:val="left" w:pos="5954"/>
        </w:tabs>
        <w:kinsoku/>
        <w:wordWrap/>
        <w:overflowPunct/>
        <w:topLinePunct w:val="0"/>
        <w:autoSpaceDE/>
        <w:autoSpaceDN/>
        <w:bidi w:val="0"/>
        <w:adjustRightInd w:val="0"/>
        <w:snapToGrid w:val="0"/>
        <w:spacing w:after="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年　　月　　日</w:t>
      </w:r>
    </w:p>
    <w:bookmarkEnd w:id="403"/>
    <w:p>
      <w:pPr>
        <w:spacing w:after="0" w:line="360" w:lineRule="auto"/>
        <w:jc w:val="both"/>
        <w:rPr>
          <w:rFonts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质疑函格式（如有需要）</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致广东政通招标有限公司</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7"/>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7"/>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pStyle w:val="7"/>
        <w:rPr>
          <w:color w:val="auto"/>
          <w:highlight w:val="none"/>
        </w:rPr>
      </w:pPr>
    </w:p>
    <w:p>
      <w:pPr>
        <w:spacing w:after="0" w:line="360" w:lineRule="auto"/>
        <w:rPr>
          <w:color w:val="auto"/>
          <w:highlight w:val="none"/>
        </w:rPr>
      </w:pPr>
    </w:p>
    <w:p>
      <w:pPr>
        <w:pStyle w:val="7"/>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pStyle w:val="8"/>
        <w:rPr>
          <w:color w:val="auto"/>
          <w:highlight w:val="none"/>
        </w:rPr>
      </w:pPr>
    </w:p>
    <w:p>
      <w:pPr>
        <w:spacing w:after="0"/>
        <w:jc w:val="both"/>
        <w:rPr>
          <w:rFonts w:hint="eastAsia" w:ascii="黑体" w:hAnsi="黑体" w:eastAsia="黑体" w:cs="黑体"/>
          <w:color w:val="auto"/>
          <w:sz w:val="36"/>
          <w:szCs w:val="36"/>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rPr>
        <w:t>获取磋商文件登记表</w:t>
      </w:r>
    </w:p>
    <w:tbl>
      <w:tblPr>
        <w:tblStyle w:val="22"/>
        <w:tblW w:w="4998" w:type="pct"/>
        <w:tblInd w:w="0" w:type="dxa"/>
        <w:shd w:val="clear" w:color="auto" w:fill="auto"/>
        <w:tblLayout w:type="fixed"/>
        <w:tblCellMar>
          <w:top w:w="0" w:type="dxa"/>
          <w:left w:w="108" w:type="dxa"/>
          <w:bottom w:w="0" w:type="dxa"/>
          <w:right w:w="108" w:type="dxa"/>
        </w:tblCellMar>
      </w:tblPr>
      <w:tblGrid>
        <w:gridCol w:w="2769"/>
        <w:gridCol w:w="2355"/>
        <w:gridCol w:w="1440"/>
        <w:gridCol w:w="1955"/>
      </w:tblGrid>
      <w:tr>
        <w:tblPrEx>
          <w:tblCellMar>
            <w:top w:w="0" w:type="dxa"/>
            <w:left w:w="108" w:type="dxa"/>
            <w:bottom w:w="0" w:type="dxa"/>
            <w:right w:w="108" w:type="dxa"/>
          </w:tblCellMar>
        </w:tblPrEx>
        <w:trPr>
          <w:trHeight w:val="120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拟报名项目名称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103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项目编号</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项目包号</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136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供应商全称</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供应商联系人</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电话</w:t>
            </w:r>
          </w:p>
        </w:tc>
        <w:tc>
          <w:tcPr>
            <w:tcW w:w="1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手机</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电子邮箱</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rPr>
                <w:rFonts w:hint="eastAsia" w:ascii="宋体" w:hAnsi="宋体" w:eastAsia="宋体" w:cs="宋体"/>
                <w:i w:val="0"/>
                <w:iCs w:val="0"/>
                <w:color w:val="auto"/>
                <w:sz w:val="28"/>
                <w:szCs w:val="28"/>
                <w:highlight w:val="none"/>
                <w:u w:val="none"/>
              </w:rPr>
            </w:pPr>
          </w:p>
        </w:tc>
      </w:tr>
      <w:tr>
        <w:tblPrEx>
          <w:shd w:val="clear" w:color="auto" w:fill="auto"/>
          <w:tblCellMar>
            <w:top w:w="0" w:type="dxa"/>
            <w:left w:w="108" w:type="dxa"/>
            <w:bottom w:w="0" w:type="dxa"/>
            <w:right w:w="108" w:type="dxa"/>
          </w:tblCellMar>
        </w:tblPrEx>
        <w:trPr>
          <w:trHeight w:val="850"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获取招标文件时间</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年    月    日    时    分</w:t>
            </w:r>
          </w:p>
        </w:tc>
      </w:tr>
      <w:tr>
        <w:tblPrEx>
          <w:tblCellMar>
            <w:top w:w="0" w:type="dxa"/>
            <w:left w:w="108" w:type="dxa"/>
            <w:bottom w:w="0" w:type="dxa"/>
            <w:right w:w="108" w:type="dxa"/>
          </w:tblCellMar>
        </w:tblPrEx>
        <w:trPr>
          <w:trHeight w:val="85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承诺:</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本公司对招标文件的内容已经了解，并自愿购买该招标文件。</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本公司对提供的所有资料的真实性、有效性承担责任。</w:t>
            </w:r>
          </w:p>
          <w:p>
            <w:pPr>
              <w:keepNext w:val="0"/>
              <w:keepLines w:val="0"/>
              <w:pageBreakBefore w:val="0"/>
              <w:widowControl/>
              <w:numPr>
                <w:ilvl w:val="0"/>
                <w:numId w:val="24"/>
              </w:numPr>
              <w:suppressLineNumbers w:val="0"/>
              <w:kinsoku/>
              <w:wordWrap/>
              <w:overflowPunct/>
              <w:topLinePunct w:val="0"/>
              <w:autoSpaceDE/>
              <w:autoSpaceDN/>
              <w:bidi w:val="0"/>
              <w:adjustRightInd w:val="0"/>
              <w:snapToGrid w:val="0"/>
              <w:spacing w:after="0" w:line="360" w:lineRule="auto"/>
              <w:ind w:firstLine="560" w:firstLineChars="200"/>
              <w:jc w:val="left"/>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招标文件售后不退。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360" w:lineRule="auto"/>
              <w:ind w:left="0" w:leftChars="0" w:firstLine="3738" w:firstLineChars="1335"/>
              <w:jc w:val="both"/>
              <w:textAlignment w:val="center"/>
              <w:rPr>
                <w:rFonts w:hint="default"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 xml:space="preserve">招标文件领取人签名: </w:t>
            </w:r>
            <w:r>
              <w:rPr>
                <w:rFonts w:hint="eastAsia" w:ascii="宋体" w:hAnsi="宋体" w:eastAsia="宋体" w:cs="宋体"/>
                <w:i w:val="0"/>
                <w:iCs w:val="0"/>
                <w:color w:val="auto"/>
                <w:kern w:val="0"/>
                <w:sz w:val="28"/>
                <w:szCs w:val="28"/>
                <w:highlight w:val="none"/>
                <w:u w:val="single"/>
                <w:lang w:val="en-US" w:eastAsia="zh-CN" w:bidi="ar"/>
              </w:rPr>
              <w:t xml:space="preserve">     </w:t>
            </w:r>
            <w:r>
              <w:rPr>
                <w:rFonts w:hint="eastAsia" w:ascii="宋体" w:hAnsi="宋体" w:eastAsia="宋体" w:cs="宋体"/>
                <w:i w:val="0"/>
                <w:iCs w:val="0"/>
                <w:color w:val="auto"/>
                <w:kern w:val="0"/>
                <w:sz w:val="28"/>
                <w:szCs w:val="28"/>
                <w:highlight w:val="none"/>
                <w:u w:val="none"/>
                <w:vertAlign w:val="subscript"/>
                <w:lang w:val="en-US" w:eastAsia="zh-CN" w:bidi="ar"/>
              </w:rPr>
              <w:t xml:space="preserve"> </w:t>
            </w:r>
            <w:r>
              <w:rPr>
                <w:rFonts w:hint="eastAsia" w:ascii="宋体" w:hAnsi="宋体" w:eastAsia="宋体" w:cs="宋体"/>
                <w:i w:val="0"/>
                <w:iCs w:val="0"/>
                <w:color w:val="auto"/>
                <w:kern w:val="0"/>
                <w:sz w:val="28"/>
                <w:szCs w:val="28"/>
                <w:highlight w:val="none"/>
                <w:u w:val="none"/>
                <w:lang w:val="en-US" w:eastAsia="zh-CN" w:bidi="ar"/>
              </w:rPr>
              <w:t xml:space="preserve">              </w:t>
            </w:r>
            <w:r>
              <w:rPr>
                <w:rFonts w:hint="eastAsia" w:ascii="宋体" w:hAnsi="宋体" w:eastAsia="宋体" w:cs="宋体"/>
                <w:i w:val="0"/>
                <w:iCs w:val="0"/>
                <w:color w:val="auto"/>
                <w:kern w:val="0"/>
                <w:sz w:val="28"/>
                <w:szCs w:val="28"/>
                <w:highlight w:val="none"/>
                <w:u w:val="single"/>
                <w:lang w:val="en-US" w:eastAsia="zh-CN" w:bidi="ar"/>
              </w:rPr>
              <w:t xml:space="preserve">                </w:t>
            </w:r>
          </w:p>
        </w:tc>
      </w:tr>
      <w:tr>
        <w:tblPrEx>
          <w:shd w:val="clear" w:color="auto" w:fill="auto"/>
          <w:tblCellMar>
            <w:top w:w="0" w:type="dxa"/>
            <w:left w:w="108" w:type="dxa"/>
            <w:bottom w:w="0" w:type="dxa"/>
            <w:right w:w="108" w:type="dxa"/>
          </w:tblCellMar>
        </w:tblPrEx>
        <w:trPr>
          <w:trHeight w:val="825" w:hRule="atLeast"/>
        </w:trPr>
        <w:tc>
          <w:tcPr>
            <w:tcW w:w="1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招标文件售价</w:t>
            </w:r>
          </w:p>
        </w:tc>
        <w:tc>
          <w:tcPr>
            <w:tcW w:w="33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人民币150元/份</w:t>
            </w:r>
          </w:p>
        </w:tc>
      </w:tr>
      <w:tr>
        <w:tblPrEx>
          <w:shd w:val="clear" w:color="auto" w:fill="auto"/>
          <w:tblCellMar>
            <w:top w:w="0" w:type="dxa"/>
            <w:left w:w="108" w:type="dxa"/>
            <w:bottom w:w="0" w:type="dxa"/>
            <w:right w:w="108" w:type="dxa"/>
          </w:tblCellMar>
        </w:tblPrEx>
        <w:trPr>
          <w:trHeight w:val="106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60" w:lineRule="auto"/>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b/>
                <w:bCs/>
                <w:color w:val="auto"/>
                <w:sz w:val="32"/>
                <w:szCs w:val="32"/>
                <w:highlight w:val="none"/>
              </w:rPr>
              <w:t>注：开完发票后请把报名表格交还至前台</w:t>
            </w:r>
          </w:p>
        </w:tc>
      </w:tr>
    </w:tbl>
    <w:p>
      <w:pPr>
        <w:pStyle w:val="8"/>
        <w:ind w:left="0" w:leftChars="0" w:firstLine="0" w:firstLineChars="0"/>
        <w:rPr>
          <w:color w:val="auto"/>
          <w:highlight w:val="none"/>
        </w:rPr>
      </w:pPr>
    </w:p>
    <w:sectPr>
      <w:footerReference r:id="rId12" w:type="first"/>
      <w:footerReference r:id="rId11"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77</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9"/>
        <w:snapToGrid w:val="0"/>
        <w:rPr>
          <w:rFonts w:hint="eastAsia" w:eastAsia="微软雅黑"/>
          <w:lang w:eastAsia="zh-CN"/>
        </w:rPr>
      </w:pPr>
      <w:r>
        <w:rPr>
          <w:rStyle w:val="28"/>
        </w:rPr>
        <w:footnoteRef/>
      </w:r>
      <w:r>
        <w:t xml:space="preserve"> </w:t>
      </w:r>
      <w:r>
        <w:rPr>
          <w:rFonts w:hint="eastAsia"/>
          <w:lang w:eastAsia="zh-CN"/>
        </w:rPr>
        <w:t>从业人员、营业人员、资产总额填报上一年度数据，无上一年度数据的新成立企业可不填报。</w:t>
      </w:r>
    </w:p>
  </w:footnote>
  <w:footnote w:id="1">
    <w:p>
      <w:pPr>
        <w:pStyle w:val="19"/>
        <w:snapToGrid w:val="0"/>
      </w:pPr>
      <w:r>
        <w:rPr>
          <w:rStyle w:val="28"/>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8255</wp:posOffset>
          </wp:positionH>
          <wp:positionV relativeFrom="paragraph">
            <wp:posOffset>0</wp:posOffset>
          </wp:positionV>
          <wp:extent cx="5264150" cy="444500"/>
          <wp:effectExtent l="0" t="0" r="12700" b="12700"/>
          <wp:wrapSquare wrapText="bothSides"/>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pic:cNvPicPr>
                </pic:nvPicPr>
                <pic:blipFill>
                  <a:blip r:embed="rId1"/>
                  <a:stretch>
                    <a:fillRect/>
                  </a:stretch>
                </pic:blipFill>
                <pic:spPr>
                  <a:xfrm>
                    <a:off x="0" y="0"/>
                    <a:ext cx="5264150" cy="4445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-1270</wp:posOffset>
          </wp:positionH>
          <wp:positionV relativeFrom="paragraph">
            <wp:posOffset>9525</wp:posOffset>
          </wp:positionV>
          <wp:extent cx="5282565" cy="444500"/>
          <wp:effectExtent l="0" t="0" r="13335" b="1270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5282565" cy="444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93587489"/>
    <w:multiLevelType w:val="singleLevel"/>
    <w:tmpl w:val="93587489"/>
    <w:lvl w:ilvl="0" w:tentative="0">
      <w:start w:val="1"/>
      <w:numFmt w:val="decimal"/>
      <w:suff w:val="nothing"/>
      <w:lvlText w:val="%1、"/>
      <w:lvlJc w:val="left"/>
    </w:lvl>
  </w:abstractNum>
  <w:abstractNum w:abstractNumId="3">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4">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5">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6">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7">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8">
    <w:nsid w:val="CFF174A5"/>
    <w:multiLevelType w:val="singleLevel"/>
    <w:tmpl w:val="CFF174A5"/>
    <w:lvl w:ilvl="0" w:tentative="0">
      <w:start w:val="1"/>
      <w:numFmt w:val="decimal"/>
      <w:suff w:val="nothing"/>
      <w:lvlText w:val="%1、"/>
      <w:lvlJc w:val="left"/>
    </w:lvl>
  </w:abstractNum>
  <w:abstractNum w:abstractNumId="9">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10">
    <w:nsid w:val="F8DC71CB"/>
    <w:multiLevelType w:val="multilevel"/>
    <w:tmpl w:val="F8DC71CB"/>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3">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4">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5">
    <w:nsid w:val="316010E5"/>
    <w:multiLevelType w:val="singleLevel"/>
    <w:tmpl w:val="316010E5"/>
    <w:lvl w:ilvl="0" w:tentative="0">
      <w:start w:val="1"/>
      <w:numFmt w:val="decimal"/>
      <w:suff w:val="nothing"/>
      <w:lvlText w:val="%1．"/>
      <w:lvlJc w:val="left"/>
    </w:lvl>
  </w:abstractNum>
  <w:abstractNum w:abstractNumId="16">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7">
    <w:nsid w:val="3B1B8417"/>
    <w:multiLevelType w:val="singleLevel"/>
    <w:tmpl w:val="3B1B8417"/>
    <w:lvl w:ilvl="0" w:tentative="0">
      <w:start w:val="1"/>
      <w:numFmt w:val="decimal"/>
      <w:suff w:val="nothing"/>
      <w:lvlText w:val="%1、"/>
      <w:lvlJc w:val="left"/>
    </w:lvl>
  </w:abstractNum>
  <w:abstractNum w:abstractNumId="18">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20">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21">
    <w:nsid w:val="6E5CE7BD"/>
    <w:multiLevelType w:val="singleLevel"/>
    <w:tmpl w:val="6E5CE7BD"/>
    <w:lvl w:ilvl="0" w:tentative="0">
      <w:start w:val="1"/>
      <w:numFmt w:val="chineseCounting"/>
      <w:suff w:val="nothing"/>
      <w:lvlText w:val="%1、"/>
      <w:lvlJc w:val="left"/>
      <w:rPr>
        <w:rFonts w:hint="eastAsia"/>
      </w:rPr>
    </w:lvl>
  </w:abstractNum>
  <w:abstractNum w:abstractNumId="22">
    <w:nsid w:val="7C1CDD3B"/>
    <w:multiLevelType w:val="singleLevel"/>
    <w:tmpl w:val="7C1CDD3B"/>
    <w:lvl w:ilvl="0" w:tentative="0">
      <w:start w:val="2"/>
      <w:numFmt w:val="chineseCounting"/>
      <w:suff w:val="space"/>
      <w:lvlText w:val="第%1章"/>
      <w:lvlJc w:val="left"/>
      <w:rPr>
        <w:rFonts w:hint="eastAsia"/>
      </w:rPr>
    </w:lvl>
  </w:abstractNum>
  <w:abstractNum w:abstractNumId="23">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1"/>
  </w:num>
  <w:num w:numId="2">
    <w:abstractNumId w:val="17"/>
  </w:num>
  <w:num w:numId="3">
    <w:abstractNumId w:val="10"/>
  </w:num>
  <w:num w:numId="4">
    <w:abstractNumId w:val="23"/>
  </w:num>
  <w:num w:numId="5">
    <w:abstractNumId w:val="18"/>
  </w:num>
  <w:num w:numId="6">
    <w:abstractNumId w:val="4"/>
  </w:num>
  <w:num w:numId="7">
    <w:abstractNumId w:val="5"/>
  </w:num>
  <w:num w:numId="8">
    <w:abstractNumId w:val="0"/>
  </w:num>
  <w:num w:numId="9">
    <w:abstractNumId w:val="1"/>
  </w:num>
  <w:num w:numId="10">
    <w:abstractNumId w:val="16"/>
  </w:num>
  <w:num w:numId="11">
    <w:abstractNumId w:val="14"/>
  </w:num>
  <w:num w:numId="12">
    <w:abstractNumId w:val="7"/>
  </w:num>
  <w:num w:numId="13">
    <w:abstractNumId w:val="6"/>
  </w:num>
  <w:num w:numId="14">
    <w:abstractNumId w:val="19"/>
  </w:num>
  <w:num w:numId="15">
    <w:abstractNumId w:val="3"/>
  </w:num>
  <w:num w:numId="16">
    <w:abstractNumId w:val="9"/>
  </w:num>
  <w:num w:numId="17">
    <w:abstractNumId w:val="12"/>
  </w:num>
  <w:num w:numId="18">
    <w:abstractNumId w:val="13"/>
  </w:num>
  <w:num w:numId="19">
    <w:abstractNumId w:val="20"/>
  </w:num>
  <w:num w:numId="20">
    <w:abstractNumId w:val="22"/>
  </w:num>
  <w:num w:numId="21">
    <w:abstractNumId w:val="8"/>
  </w:num>
  <w:num w:numId="22">
    <w:abstractNumId w:val="11"/>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23B0"/>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1E93"/>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40242"/>
    <w:rsid w:val="01B938AA"/>
    <w:rsid w:val="01E74B6E"/>
    <w:rsid w:val="02126CDB"/>
    <w:rsid w:val="021832B7"/>
    <w:rsid w:val="024E2E49"/>
    <w:rsid w:val="02A741FD"/>
    <w:rsid w:val="02C16E5D"/>
    <w:rsid w:val="02D964CF"/>
    <w:rsid w:val="033156C9"/>
    <w:rsid w:val="0340787C"/>
    <w:rsid w:val="03707410"/>
    <w:rsid w:val="037F03E3"/>
    <w:rsid w:val="03A0770F"/>
    <w:rsid w:val="03A27BF9"/>
    <w:rsid w:val="03A448B8"/>
    <w:rsid w:val="03A4578A"/>
    <w:rsid w:val="03AD071E"/>
    <w:rsid w:val="03D10969"/>
    <w:rsid w:val="04DF1036"/>
    <w:rsid w:val="050F6021"/>
    <w:rsid w:val="05A11BD7"/>
    <w:rsid w:val="05A97DEC"/>
    <w:rsid w:val="05C81981"/>
    <w:rsid w:val="06BC41F2"/>
    <w:rsid w:val="06DF3DBD"/>
    <w:rsid w:val="07197D08"/>
    <w:rsid w:val="071C2CFD"/>
    <w:rsid w:val="071E5C55"/>
    <w:rsid w:val="073A47CB"/>
    <w:rsid w:val="073F7319"/>
    <w:rsid w:val="07536A42"/>
    <w:rsid w:val="07595F41"/>
    <w:rsid w:val="07615EC0"/>
    <w:rsid w:val="077005AB"/>
    <w:rsid w:val="078F4581"/>
    <w:rsid w:val="07995C5E"/>
    <w:rsid w:val="07BE179A"/>
    <w:rsid w:val="07BF027F"/>
    <w:rsid w:val="08031A31"/>
    <w:rsid w:val="081A5CC7"/>
    <w:rsid w:val="08A276E5"/>
    <w:rsid w:val="09061A75"/>
    <w:rsid w:val="09087948"/>
    <w:rsid w:val="09182241"/>
    <w:rsid w:val="09242E62"/>
    <w:rsid w:val="093C069F"/>
    <w:rsid w:val="09417888"/>
    <w:rsid w:val="09855177"/>
    <w:rsid w:val="09870F93"/>
    <w:rsid w:val="09D658E4"/>
    <w:rsid w:val="09F1637C"/>
    <w:rsid w:val="0A25628F"/>
    <w:rsid w:val="0A405D95"/>
    <w:rsid w:val="0AA534D5"/>
    <w:rsid w:val="0AA650EB"/>
    <w:rsid w:val="0AB8066A"/>
    <w:rsid w:val="0AF47339"/>
    <w:rsid w:val="0B22594B"/>
    <w:rsid w:val="0B6709D0"/>
    <w:rsid w:val="0B797387"/>
    <w:rsid w:val="0BC044BE"/>
    <w:rsid w:val="0BDF26F7"/>
    <w:rsid w:val="0C264099"/>
    <w:rsid w:val="0C2B4952"/>
    <w:rsid w:val="0C7B2220"/>
    <w:rsid w:val="0D890E47"/>
    <w:rsid w:val="0DC64A00"/>
    <w:rsid w:val="0DFC60BA"/>
    <w:rsid w:val="0E4249F1"/>
    <w:rsid w:val="0F6C5A53"/>
    <w:rsid w:val="0F6F5FBD"/>
    <w:rsid w:val="0F7C5FF6"/>
    <w:rsid w:val="0FC63FBD"/>
    <w:rsid w:val="106C564D"/>
    <w:rsid w:val="107B7B8F"/>
    <w:rsid w:val="107C67CE"/>
    <w:rsid w:val="108F06C9"/>
    <w:rsid w:val="109D68CB"/>
    <w:rsid w:val="10A949B8"/>
    <w:rsid w:val="10C54639"/>
    <w:rsid w:val="10EC351D"/>
    <w:rsid w:val="11200D07"/>
    <w:rsid w:val="11DA73AF"/>
    <w:rsid w:val="11E16330"/>
    <w:rsid w:val="12742DEA"/>
    <w:rsid w:val="12B326B8"/>
    <w:rsid w:val="12C60D80"/>
    <w:rsid w:val="131F7A3A"/>
    <w:rsid w:val="132645D0"/>
    <w:rsid w:val="13455ABC"/>
    <w:rsid w:val="1370322B"/>
    <w:rsid w:val="13AA0E44"/>
    <w:rsid w:val="13B27845"/>
    <w:rsid w:val="13BE469F"/>
    <w:rsid w:val="13DC2D37"/>
    <w:rsid w:val="13F87121"/>
    <w:rsid w:val="141A03E1"/>
    <w:rsid w:val="143B2E0B"/>
    <w:rsid w:val="14672B11"/>
    <w:rsid w:val="14892735"/>
    <w:rsid w:val="14CC769D"/>
    <w:rsid w:val="157D38E3"/>
    <w:rsid w:val="15D359D7"/>
    <w:rsid w:val="15D81E0F"/>
    <w:rsid w:val="161771F3"/>
    <w:rsid w:val="16222D6D"/>
    <w:rsid w:val="163C77BE"/>
    <w:rsid w:val="16632F86"/>
    <w:rsid w:val="1679588C"/>
    <w:rsid w:val="16994962"/>
    <w:rsid w:val="16A71041"/>
    <w:rsid w:val="16AA24BF"/>
    <w:rsid w:val="16F72341"/>
    <w:rsid w:val="17680CAB"/>
    <w:rsid w:val="176E4128"/>
    <w:rsid w:val="1783371F"/>
    <w:rsid w:val="17E62B67"/>
    <w:rsid w:val="180C0192"/>
    <w:rsid w:val="180F4499"/>
    <w:rsid w:val="18221ECE"/>
    <w:rsid w:val="18C86BE9"/>
    <w:rsid w:val="190B7894"/>
    <w:rsid w:val="195A1A27"/>
    <w:rsid w:val="19A2789F"/>
    <w:rsid w:val="19E27AEB"/>
    <w:rsid w:val="1A06185E"/>
    <w:rsid w:val="1A1121EF"/>
    <w:rsid w:val="1A460CF5"/>
    <w:rsid w:val="1A7F297D"/>
    <w:rsid w:val="1AB16AC1"/>
    <w:rsid w:val="1ACC376E"/>
    <w:rsid w:val="1B034A52"/>
    <w:rsid w:val="1B052A6B"/>
    <w:rsid w:val="1B1F34AD"/>
    <w:rsid w:val="1B4E56D7"/>
    <w:rsid w:val="1B8D5DC6"/>
    <w:rsid w:val="1BFE1D3B"/>
    <w:rsid w:val="1C2775EC"/>
    <w:rsid w:val="1C750ECE"/>
    <w:rsid w:val="1CA22168"/>
    <w:rsid w:val="1D0836D7"/>
    <w:rsid w:val="1D196139"/>
    <w:rsid w:val="1DB85900"/>
    <w:rsid w:val="1DF051AF"/>
    <w:rsid w:val="1E010AF7"/>
    <w:rsid w:val="1E0178EB"/>
    <w:rsid w:val="1E301173"/>
    <w:rsid w:val="1E38333E"/>
    <w:rsid w:val="1E5C7612"/>
    <w:rsid w:val="1EA40BB4"/>
    <w:rsid w:val="1F43381C"/>
    <w:rsid w:val="1FA4148D"/>
    <w:rsid w:val="20121621"/>
    <w:rsid w:val="201A421D"/>
    <w:rsid w:val="20341172"/>
    <w:rsid w:val="204E554F"/>
    <w:rsid w:val="20590035"/>
    <w:rsid w:val="20C35213"/>
    <w:rsid w:val="20FC799E"/>
    <w:rsid w:val="22154DDD"/>
    <w:rsid w:val="22213E42"/>
    <w:rsid w:val="22336873"/>
    <w:rsid w:val="23175889"/>
    <w:rsid w:val="238C2182"/>
    <w:rsid w:val="239015D1"/>
    <w:rsid w:val="23BB4E7D"/>
    <w:rsid w:val="23C172D6"/>
    <w:rsid w:val="23D81D7C"/>
    <w:rsid w:val="23F04F64"/>
    <w:rsid w:val="2468572A"/>
    <w:rsid w:val="24814CBE"/>
    <w:rsid w:val="24AC168B"/>
    <w:rsid w:val="258C3BEC"/>
    <w:rsid w:val="25E576CC"/>
    <w:rsid w:val="260E3862"/>
    <w:rsid w:val="262569FC"/>
    <w:rsid w:val="26344C98"/>
    <w:rsid w:val="26F56CE2"/>
    <w:rsid w:val="27435D49"/>
    <w:rsid w:val="27A34F71"/>
    <w:rsid w:val="27B36A67"/>
    <w:rsid w:val="27EB0D9B"/>
    <w:rsid w:val="286602C8"/>
    <w:rsid w:val="28665C95"/>
    <w:rsid w:val="28A64522"/>
    <w:rsid w:val="28CC5B40"/>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E04319"/>
    <w:rsid w:val="2FF37AB3"/>
    <w:rsid w:val="30FF27D2"/>
    <w:rsid w:val="31170995"/>
    <w:rsid w:val="31264A30"/>
    <w:rsid w:val="31884E67"/>
    <w:rsid w:val="31A0275E"/>
    <w:rsid w:val="31B7357A"/>
    <w:rsid w:val="31ED6B08"/>
    <w:rsid w:val="31F42632"/>
    <w:rsid w:val="31F915C9"/>
    <w:rsid w:val="32610CE6"/>
    <w:rsid w:val="328464CE"/>
    <w:rsid w:val="32AB70C5"/>
    <w:rsid w:val="32DC33E0"/>
    <w:rsid w:val="335D0AF5"/>
    <w:rsid w:val="33614D0F"/>
    <w:rsid w:val="3370088C"/>
    <w:rsid w:val="33A3154A"/>
    <w:rsid w:val="33DC2F78"/>
    <w:rsid w:val="3428227C"/>
    <w:rsid w:val="35260F83"/>
    <w:rsid w:val="35602226"/>
    <w:rsid w:val="356B72E7"/>
    <w:rsid w:val="3572424F"/>
    <w:rsid w:val="35FC3844"/>
    <w:rsid w:val="36063054"/>
    <w:rsid w:val="36794DEF"/>
    <w:rsid w:val="36AD519D"/>
    <w:rsid w:val="36B57705"/>
    <w:rsid w:val="374F1A0B"/>
    <w:rsid w:val="37A103ED"/>
    <w:rsid w:val="37EA5E6E"/>
    <w:rsid w:val="37FF016F"/>
    <w:rsid w:val="38427C0B"/>
    <w:rsid w:val="387C5ABE"/>
    <w:rsid w:val="389B3A1E"/>
    <w:rsid w:val="38EB6119"/>
    <w:rsid w:val="39DE33DA"/>
    <w:rsid w:val="39FA5B4A"/>
    <w:rsid w:val="39FE0BE9"/>
    <w:rsid w:val="3A3C1AAF"/>
    <w:rsid w:val="3A4B7CC1"/>
    <w:rsid w:val="3A51228C"/>
    <w:rsid w:val="3A552E60"/>
    <w:rsid w:val="3A5D642F"/>
    <w:rsid w:val="3AB210FC"/>
    <w:rsid w:val="3ACE216B"/>
    <w:rsid w:val="3AD95C13"/>
    <w:rsid w:val="3B261E51"/>
    <w:rsid w:val="3B973F88"/>
    <w:rsid w:val="3BB440D0"/>
    <w:rsid w:val="3BCD72F7"/>
    <w:rsid w:val="3C414142"/>
    <w:rsid w:val="3C9121FF"/>
    <w:rsid w:val="3CE114D9"/>
    <w:rsid w:val="3CF737A2"/>
    <w:rsid w:val="3CF7509A"/>
    <w:rsid w:val="3D10295A"/>
    <w:rsid w:val="3E0572FD"/>
    <w:rsid w:val="3E1A5292"/>
    <w:rsid w:val="3E5A7FE7"/>
    <w:rsid w:val="3EC8179E"/>
    <w:rsid w:val="3EF66B2E"/>
    <w:rsid w:val="3F217914"/>
    <w:rsid w:val="3FD70BB0"/>
    <w:rsid w:val="3FFB55AC"/>
    <w:rsid w:val="401C5F9D"/>
    <w:rsid w:val="401C690C"/>
    <w:rsid w:val="401D7195"/>
    <w:rsid w:val="40A51286"/>
    <w:rsid w:val="40AB2E8A"/>
    <w:rsid w:val="40CE3DC0"/>
    <w:rsid w:val="40D7455A"/>
    <w:rsid w:val="40E743E5"/>
    <w:rsid w:val="4110038E"/>
    <w:rsid w:val="41734CBA"/>
    <w:rsid w:val="41DD7057"/>
    <w:rsid w:val="420F7A65"/>
    <w:rsid w:val="4216611A"/>
    <w:rsid w:val="423E300F"/>
    <w:rsid w:val="42455E9F"/>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C5497E"/>
    <w:rsid w:val="44FA2D53"/>
    <w:rsid w:val="4571374F"/>
    <w:rsid w:val="458B1BB0"/>
    <w:rsid w:val="45A67760"/>
    <w:rsid w:val="4611075B"/>
    <w:rsid w:val="46214818"/>
    <w:rsid w:val="467A0297"/>
    <w:rsid w:val="46862488"/>
    <w:rsid w:val="468B7125"/>
    <w:rsid w:val="46C4691F"/>
    <w:rsid w:val="47841568"/>
    <w:rsid w:val="479D1D34"/>
    <w:rsid w:val="47B609C0"/>
    <w:rsid w:val="47CF543E"/>
    <w:rsid w:val="482D31EA"/>
    <w:rsid w:val="485970A0"/>
    <w:rsid w:val="48847961"/>
    <w:rsid w:val="48A41906"/>
    <w:rsid w:val="48B65C71"/>
    <w:rsid w:val="48BB5EC4"/>
    <w:rsid w:val="48F303D7"/>
    <w:rsid w:val="492837FF"/>
    <w:rsid w:val="492E6A57"/>
    <w:rsid w:val="49B73073"/>
    <w:rsid w:val="49B86103"/>
    <w:rsid w:val="4A0030EE"/>
    <w:rsid w:val="4AB75B3A"/>
    <w:rsid w:val="4AC36065"/>
    <w:rsid w:val="4B560086"/>
    <w:rsid w:val="4B7501F5"/>
    <w:rsid w:val="4B8C2DEB"/>
    <w:rsid w:val="4BFA3C9F"/>
    <w:rsid w:val="4C0E3379"/>
    <w:rsid w:val="4C107F48"/>
    <w:rsid w:val="4C3277BC"/>
    <w:rsid w:val="4C686851"/>
    <w:rsid w:val="4CC353EB"/>
    <w:rsid w:val="4CF36F3C"/>
    <w:rsid w:val="4CFC69A5"/>
    <w:rsid w:val="4D4F67BA"/>
    <w:rsid w:val="4D603399"/>
    <w:rsid w:val="4D867EE1"/>
    <w:rsid w:val="4DBC4C65"/>
    <w:rsid w:val="4DF6568D"/>
    <w:rsid w:val="4E2E1A80"/>
    <w:rsid w:val="4E550010"/>
    <w:rsid w:val="4E5F14CB"/>
    <w:rsid w:val="4E72554E"/>
    <w:rsid w:val="4E7279BD"/>
    <w:rsid w:val="4F3705F8"/>
    <w:rsid w:val="4FAC3540"/>
    <w:rsid w:val="4FBB12F4"/>
    <w:rsid w:val="4FCF1583"/>
    <w:rsid w:val="4FFA7625"/>
    <w:rsid w:val="501B0BF9"/>
    <w:rsid w:val="50330E26"/>
    <w:rsid w:val="507D2599"/>
    <w:rsid w:val="5096229D"/>
    <w:rsid w:val="50B44FCE"/>
    <w:rsid w:val="50DC4184"/>
    <w:rsid w:val="51475B39"/>
    <w:rsid w:val="514C3EA7"/>
    <w:rsid w:val="518F0C2B"/>
    <w:rsid w:val="519849E5"/>
    <w:rsid w:val="51B36892"/>
    <w:rsid w:val="51E44D3C"/>
    <w:rsid w:val="524A036B"/>
    <w:rsid w:val="52506DA7"/>
    <w:rsid w:val="529D471C"/>
    <w:rsid w:val="533B2B84"/>
    <w:rsid w:val="537A7243"/>
    <w:rsid w:val="539C1B81"/>
    <w:rsid w:val="53AA6184"/>
    <w:rsid w:val="53AE750F"/>
    <w:rsid w:val="53EB0895"/>
    <w:rsid w:val="53F263AD"/>
    <w:rsid w:val="54693932"/>
    <w:rsid w:val="549A6BFA"/>
    <w:rsid w:val="54E72921"/>
    <w:rsid w:val="55806F07"/>
    <w:rsid w:val="55A44ACC"/>
    <w:rsid w:val="55FA2961"/>
    <w:rsid w:val="565E7F4F"/>
    <w:rsid w:val="56775789"/>
    <w:rsid w:val="56857D06"/>
    <w:rsid w:val="56914056"/>
    <w:rsid w:val="569F0E63"/>
    <w:rsid w:val="56DB613D"/>
    <w:rsid w:val="573810DA"/>
    <w:rsid w:val="57FC2169"/>
    <w:rsid w:val="58096275"/>
    <w:rsid w:val="580E4560"/>
    <w:rsid w:val="581C04F1"/>
    <w:rsid w:val="582E6EF7"/>
    <w:rsid w:val="58434392"/>
    <w:rsid w:val="584E30E6"/>
    <w:rsid w:val="59014D02"/>
    <w:rsid w:val="59121D74"/>
    <w:rsid w:val="597B384D"/>
    <w:rsid w:val="59996DA8"/>
    <w:rsid w:val="59AC3CE9"/>
    <w:rsid w:val="59C30F1B"/>
    <w:rsid w:val="59E72915"/>
    <w:rsid w:val="5A0D5854"/>
    <w:rsid w:val="5A20156F"/>
    <w:rsid w:val="5A9847F3"/>
    <w:rsid w:val="5AC7121C"/>
    <w:rsid w:val="5AD90B8D"/>
    <w:rsid w:val="5AE12927"/>
    <w:rsid w:val="5B2243E9"/>
    <w:rsid w:val="5B4E1A44"/>
    <w:rsid w:val="5B666742"/>
    <w:rsid w:val="5B6919B0"/>
    <w:rsid w:val="5B873201"/>
    <w:rsid w:val="5B89551D"/>
    <w:rsid w:val="5B967767"/>
    <w:rsid w:val="5B9E55DE"/>
    <w:rsid w:val="5BEB3C95"/>
    <w:rsid w:val="5C1D18D2"/>
    <w:rsid w:val="5C286807"/>
    <w:rsid w:val="5C446BC8"/>
    <w:rsid w:val="5C4C687B"/>
    <w:rsid w:val="5C7C2768"/>
    <w:rsid w:val="5CB23AE6"/>
    <w:rsid w:val="5CF55792"/>
    <w:rsid w:val="5CFD533A"/>
    <w:rsid w:val="5D893B14"/>
    <w:rsid w:val="5E2810D5"/>
    <w:rsid w:val="5E2B7D62"/>
    <w:rsid w:val="5E4E54EA"/>
    <w:rsid w:val="5E71411E"/>
    <w:rsid w:val="5EA06921"/>
    <w:rsid w:val="5ED5006A"/>
    <w:rsid w:val="5F576E4B"/>
    <w:rsid w:val="5F5D4EDE"/>
    <w:rsid w:val="5F7A2C30"/>
    <w:rsid w:val="5FBE370A"/>
    <w:rsid w:val="5FD62906"/>
    <w:rsid w:val="60292845"/>
    <w:rsid w:val="61027308"/>
    <w:rsid w:val="612E1A5D"/>
    <w:rsid w:val="61816046"/>
    <w:rsid w:val="62182687"/>
    <w:rsid w:val="62391564"/>
    <w:rsid w:val="62816669"/>
    <w:rsid w:val="62BA0953"/>
    <w:rsid w:val="62D03A7C"/>
    <w:rsid w:val="62F16BCB"/>
    <w:rsid w:val="62F648FE"/>
    <w:rsid w:val="63341DB1"/>
    <w:rsid w:val="63447612"/>
    <w:rsid w:val="63907004"/>
    <w:rsid w:val="63A10995"/>
    <w:rsid w:val="63C23EFA"/>
    <w:rsid w:val="643A070A"/>
    <w:rsid w:val="644C573D"/>
    <w:rsid w:val="648667A7"/>
    <w:rsid w:val="64DB383A"/>
    <w:rsid w:val="65032F85"/>
    <w:rsid w:val="65136B50"/>
    <w:rsid w:val="657E2A35"/>
    <w:rsid w:val="65A94E9D"/>
    <w:rsid w:val="65C60A92"/>
    <w:rsid w:val="662203DD"/>
    <w:rsid w:val="666B723B"/>
    <w:rsid w:val="6678045A"/>
    <w:rsid w:val="66DD6702"/>
    <w:rsid w:val="679406CB"/>
    <w:rsid w:val="67C35C0B"/>
    <w:rsid w:val="681233D2"/>
    <w:rsid w:val="681D5EE5"/>
    <w:rsid w:val="68652AB3"/>
    <w:rsid w:val="689F1926"/>
    <w:rsid w:val="68AD17BB"/>
    <w:rsid w:val="68D94D22"/>
    <w:rsid w:val="68EA172B"/>
    <w:rsid w:val="692B2E4A"/>
    <w:rsid w:val="694303FB"/>
    <w:rsid w:val="696A0B34"/>
    <w:rsid w:val="698D6A17"/>
    <w:rsid w:val="69A233E7"/>
    <w:rsid w:val="69EE3535"/>
    <w:rsid w:val="69F954C1"/>
    <w:rsid w:val="6A136C78"/>
    <w:rsid w:val="6A2031B6"/>
    <w:rsid w:val="6A440C53"/>
    <w:rsid w:val="6AC61F6F"/>
    <w:rsid w:val="6ADE74F0"/>
    <w:rsid w:val="6B1002C0"/>
    <w:rsid w:val="6B1F5CFA"/>
    <w:rsid w:val="6B723594"/>
    <w:rsid w:val="6B805156"/>
    <w:rsid w:val="6BD50977"/>
    <w:rsid w:val="6BEA2A9B"/>
    <w:rsid w:val="6C5F0932"/>
    <w:rsid w:val="6C9C0875"/>
    <w:rsid w:val="6C9D1F03"/>
    <w:rsid w:val="6CAA3931"/>
    <w:rsid w:val="6D3933CA"/>
    <w:rsid w:val="6D7B61EC"/>
    <w:rsid w:val="6DD049FF"/>
    <w:rsid w:val="6E09491E"/>
    <w:rsid w:val="6E0D3655"/>
    <w:rsid w:val="6E414102"/>
    <w:rsid w:val="6E5F4465"/>
    <w:rsid w:val="6E8C54DA"/>
    <w:rsid w:val="6EF11E03"/>
    <w:rsid w:val="6F111C62"/>
    <w:rsid w:val="6F2176E5"/>
    <w:rsid w:val="6F3053CA"/>
    <w:rsid w:val="6F592303"/>
    <w:rsid w:val="6F5F5B74"/>
    <w:rsid w:val="6F9B1C65"/>
    <w:rsid w:val="6FD47A25"/>
    <w:rsid w:val="6FF44026"/>
    <w:rsid w:val="6FFB146E"/>
    <w:rsid w:val="701A5C74"/>
    <w:rsid w:val="706516C3"/>
    <w:rsid w:val="70864A71"/>
    <w:rsid w:val="70896E68"/>
    <w:rsid w:val="714556B4"/>
    <w:rsid w:val="715B60E9"/>
    <w:rsid w:val="71E96309"/>
    <w:rsid w:val="71EA1FED"/>
    <w:rsid w:val="71F02830"/>
    <w:rsid w:val="72284A0C"/>
    <w:rsid w:val="72393235"/>
    <w:rsid w:val="72854629"/>
    <w:rsid w:val="72C16204"/>
    <w:rsid w:val="730313F6"/>
    <w:rsid w:val="731E1007"/>
    <w:rsid w:val="73370D24"/>
    <w:rsid w:val="7359268C"/>
    <w:rsid w:val="73783138"/>
    <w:rsid w:val="73931699"/>
    <w:rsid w:val="739503EB"/>
    <w:rsid w:val="73A05B28"/>
    <w:rsid w:val="73C07D69"/>
    <w:rsid w:val="73D83049"/>
    <w:rsid w:val="749E2255"/>
    <w:rsid w:val="74B42AE4"/>
    <w:rsid w:val="750A429D"/>
    <w:rsid w:val="75167F59"/>
    <w:rsid w:val="755D38A7"/>
    <w:rsid w:val="755F5A0F"/>
    <w:rsid w:val="75614792"/>
    <w:rsid w:val="75784473"/>
    <w:rsid w:val="757E044C"/>
    <w:rsid w:val="75977BC3"/>
    <w:rsid w:val="75B161B3"/>
    <w:rsid w:val="75E470E3"/>
    <w:rsid w:val="76736B32"/>
    <w:rsid w:val="76E3765E"/>
    <w:rsid w:val="76FC2AFA"/>
    <w:rsid w:val="773F0836"/>
    <w:rsid w:val="77653671"/>
    <w:rsid w:val="778546CC"/>
    <w:rsid w:val="77B56730"/>
    <w:rsid w:val="77C04A8B"/>
    <w:rsid w:val="77D85DB3"/>
    <w:rsid w:val="780252A0"/>
    <w:rsid w:val="78027772"/>
    <w:rsid w:val="78637256"/>
    <w:rsid w:val="78667555"/>
    <w:rsid w:val="78A50513"/>
    <w:rsid w:val="793B7339"/>
    <w:rsid w:val="796518DD"/>
    <w:rsid w:val="796E0C55"/>
    <w:rsid w:val="79AA0532"/>
    <w:rsid w:val="79F70999"/>
    <w:rsid w:val="79FE1DDD"/>
    <w:rsid w:val="7A075767"/>
    <w:rsid w:val="7A212062"/>
    <w:rsid w:val="7A282A11"/>
    <w:rsid w:val="7AB90FF6"/>
    <w:rsid w:val="7AC21562"/>
    <w:rsid w:val="7AD474A4"/>
    <w:rsid w:val="7B115232"/>
    <w:rsid w:val="7B401C35"/>
    <w:rsid w:val="7B416BDC"/>
    <w:rsid w:val="7B5350AD"/>
    <w:rsid w:val="7B6867EB"/>
    <w:rsid w:val="7B697C89"/>
    <w:rsid w:val="7B8D34C3"/>
    <w:rsid w:val="7B971D84"/>
    <w:rsid w:val="7BF32F03"/>
    <w:rsid w:val="7C1724A5"/>
    <w:rsid w:val="7C8E3CCF"/>
    <w:rsid w:val="7CA54112"/>
    <w:rsid w:val="7CE50CE4"/>
    <w:rsid w:val="7D2E5ABF"/>
    <w:rsid w:val="7E2142A2"/>
    <w:rsid w:val="7E4F5384"/>
    <w:rsid w:val="7E5A6DFA"/>
    <w:rsid w:val="7E7B0BF2"/>
    <w:rsid w:val="7E7C7A78"/>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line="360" w:lineRule="auto"/>
      <w:outlineLvl w:val="2"/>
    </w:pPr>
    <w:rPr>
      <w:rFonts w:eastAsia="宋体"/>
      <w:b/>
      <w:bCs/>
      <w:sz w:val="28"/>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Body Text"/>
    <w:basedOn w:val="1"/>
    <w:next w:val="8"/>
    <w:qFormat/>
    <w:uiPriority w:val="1"/>
    <w:pPr>
      <w:spacing w:before="161"/>
      <w:ind w:left="120"/>
    </w:pPr>
    <w:rPr>
      <w:rFonts w:ascii="宋体" w:hAnsi="宋体" w:eastAsia="宋体" w:cs="宋体"/>
      <w:sz w:val="24"/>
      <w:lang w:val="zh-CN" w:bidi="zh-CN"/>
    </w:rPr>
  </w:style>
  <w:style w:type="paragraph" w:styleId="8">
    <w:name w:val="Body Text First Indent"/>
    <w:basedOn w:val="7"/>
    <w:unhideWhenUsed/>
    <w:qFormat/>
    <w:uiPriority w:val="99"/>
    <w:pPr>
      <w:ind w:firstLine="420" w:firstLineChars="100"/>
    </w:pPr>
    <w:rPr>
      <w:rFonts w:ascii="Times New Roman" w:hAnsi="Times New Roman" w:cs="Times New Roman"/>
    </w:rPr>
  </w:style>
  <w:style w:type="paragraph" w:styleId="9">
    <w:name w:val="toc 3"/>
    <w:basedOn w:val="1"/>
    <w:next w:val="1"/>
    <w:unhideWhenUsed/>
    <w:qFormat/>
    <w:uiPriority w:val="39"/>
    <w:pPr>
      <w:tabs>
        <w:tab w:val="right" w:leader="dot" w:pos="8296"/>
      </w:tabs>
      <w:ind w:left="838" w:leftChars="381"/>
    </w:pPr>
    <w:rPr>
      <w:sz w:val="21"/>
      <w:szCs w:val="21"/>
    </w:rPr>
  </w:style>
  <w:style w:type="paragraph" w:styleId="10">
    <w:name w:val="Plain Text"/>
    <w:basedOn w:val="1"/>
    <w:link w:val="44"/>
    <w:qFormat/>
    <w:uiPriority w:val="0"/>
    <w:pPr>
      <w:widowControl w:val="0"/>
      <w:adjustRightInd/>
      <w:snapToGrid/>
      <w:spacing w:after="0"/>
      <w:jc w:val="both"/>
    </w:pPr>
    <w:rPr>
      <w:rFonts w:ascii="宋体" w:hAnsi="Courier New" w:eastAsia="宋体" w:cs="Times New Roman"/>
      <w:b/>
      <w:kern w:val="2"/>
      <w:sz w:val="21"/>
      <w:szCs w:val="20"/>
    </w:rPr>
  </w:style>
  <w:style w:type="paragraph" w:styleId="11">
    <w:name w:val="Body Text Indent 2"/>
    <w:basedOn w:val="1"/>
    <w:qFormat/>
    <w:uiPriority w:val="0"/>
    <w:pPr>
      <w:ind w:firstLine="539" w:firstLineChars="174"/>
    </w:pPr>
    <w:rPr>
      <w:rFonts w:ascii="仿宋_GB2312" w:eastAsia="仿宋_GB2312"/>
      <w:sz w:val="31"/>
    </w:rPr>
  </w:style>
  <w:style w:type="paragraph" w:styleId="12">
    <w:name w:val="Balloon Text"/>
    <w:basedOn w:val="1"/>
    <w:link w:val="47"/>
    <w:semiHidden/>
    <w:unhideWhenUsed/>
    <w:qFormat/>
    <w:uiPriority w:val="99"/>
    <w:pPr>
      <w:spacing w:after="0"/>
    </w:pPr>
    <w:rPr>
      <w:sz w:val="18"/>
      <w:szCs w:val="18"/>
    </w:rPr>
  </w:style>
  <w:style w:type="paragraph" w:styleId="13">
    <w:name w:val="footer"/>
    <w:basedOn w:val="1"/>
    <w:link w:val="46"/>
    <w:unhideWhenUsed/>
    <w:qFormat/>
    <w:uiPriority w:val="99"/>
    <w:pPr>
      <w:tabs>
        <w:tab w:val="center" w:pos="4153"/>
        <w:tab w:val="right" w:pos="8306"/>
      </w:tabs>
    </w:pPr>
    <w:rPr>
      <w:sz w:val="18"/>
      <w:szCs w:val="18"/>
    </w:rPr>
  </w:style>
  <w:style w:type="paragraph" w:styleId="14">
    <w:name w:val="header"/>
    <w:basedOn w:val="1"/>
    <w:link w:val="45"/>
    <w:unhideWhenUsed/>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semiHidden/>
    <w:unhideWhenUsed/>
    <w:qFormat/>
    <w:uiPriority w:val="39"/>
  </w:style>
  <w:style w:type="paragraph" w:styleId="16">
    <w:name w:val="toc 4"/>
    <w:basedOn w:val="1"/>
    <w:next w:val="1"/>
    <w:unhideWhenUsed/>
    <w:qFormat/>
    <w:uiPriority w:val="39"/>
    <w:pPr>
      <w:tabs>
        <w:tab w:val="right" w:leader="dot" w:pos="8296"/>
      </w:tabs>
      <w:spacing w:after="120"/>
      <w:ind w:left="1320" w:leftChars="600"/>
    </w:pPr>
  </w:style>
  <w:style w:type="paragraph" w:styleId="17">
    <w:name w:val="index heading"/>
    <w:basedOn w:val="1"/>
    <w:next w:val="18"/>
    <w:qFormat/>
    <w:uiPriority w:val="0"/>
    <w:rPr>
      <w:rFonts w:ascii="Times New Roman" w:hAnsi="Times New Roman"/>
      <w:szCs w:val="20"/>
    </w:rPr>
  </w:style>
  <w:style w:type="paragraph" w:styleId="18">
    <w:name w:val="index 1"/>
    <w:basedOn w:val="1"/>
    <w:next w:val="1"/>
    <w:unhideWhenUsed/>
    <w:qFormat/>
    <w:uiPriority w:val="99"/>
  </w:style>
  <w:style w:type="paragraph" w:styleId="19">
    <w:name w:val="footnote text"/>
    <w:basedOn w:val="1"/>
    <w:semiHidden/>
    <w:unhideWhenUsed/>
    <w:qFormat/>
    <w:uiPriority w:val="99"/>
    <w:pPr>
      <w:snapToGrid w:val="0"/>
      <w:jc w:val="left"/>
    </w:pPr>
    <w:rPr>
      <w:sz w:val="18"/>
    </w:rPr>
  </w:style>
  <w:style w:type="paragraph" w:styleId="20">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1">
    <w:name w:val="Normal (Web)"/>
    <w:basedOn w:val="1"/>
    <w:link w:val="49"/>
    <w:qFormat/>
    <w:uiPriority w:val="0"/>
    <w:pPr>
      <w:widowControl w:val="0"/>
      <w:adjustRightInd/>
      <w:snapToGrid/>
      <w:spacing w:after="0"/>
      <w:jc w:val="both"/>
    </w:pPr>
    <w:rPr>
      <w:rFonts w:eastAsia="宋体" w:asciiTheme="minorHAnsi" w:hAnsiTheme="minorHAnsi"/>
      <w:kern w:val="2"/>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Emphasis"/>
    <w:basedOn w:val="24"/>
    <w:qFormat/>
    <w:uiPriority w:val="20"/>
    <w:rPr>
      <w:i/>
      <w:iCs/>
    </w:rPr>
  </w:style>
  <w:style w:type="character" w:styleId="26">
    <w:name w:val="Hyperlink"/>
    <w:qFormat/>
    <w:uiPriority w:val="99"/>
    <w:rPr>
      <w:rFonts w:hint="eastAsia" w:ascii="宋体" w:hAnsi="宋体" w:eastAsia="宋体" w:cs="宋体"/>
      <w:b/>
      <w:color w:val="0031C1"/>
      <w:kern w:val="0"/>
      <w:sz w:val="18"/>
      <w:szCs w:val="18"/>
      <w:u w:val="none"/>
      <w:lang w:eastAsia="en-US"/>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paragraph" w:customStyle="1" w:styleId="29">
    <w:name w:val="表格文字"/>
    <w:basedOn w:val="1"/>
    <w:qFormat/>
    <w:uiPriority w:val="0"/>
    <w:pPr>
      <w:autoSpaceDE/>
      <w:autoSpaceDN/>
      <w:adjustRightInd/>
      <w:spacing w:before="25" w:after="25"/>
    </w:pPr>
    <w:rPr>
      <w:rFonts w:ascii="Times New Roman"/>
      <w:bCs/>
      <w:spacing w:val="10"/>
      <w:szCs w:val="20"/>
    </w:rPr>
  </w:style>
  <w:style w:type="character" w:customStyle="1" w:styleId="30">
    <w:name w:val="标题 2 Char"/>
    <w:basedOn w:val="24"/>
    <w:link w:val="3"/>
    <w:qFormat/>
    <w:uiPriority w:val="9"/>
    <w:rPr>
      <w:rFonts w:asciiTheme="majorHAnsi" w:hAnsiTheme="majorHAnsi" w:eastAsiaTheme="majorEastAsia" w:cstheme="majorBidi"/>
      <w:b/>
      <w:bCs/>
      <w:sz w:val="32"/>
      <w:szCs w:val="32"/>
    </w:rPr>
  </w:style>
  <w:style w:type="character" w:customStyle="1" w:styleId="31">
    <w:name w:val="标题 3 Char"/>
    <w:basedOn w:val="24"/>
    <w:link w:val="4"/>
    <w:qFormat/>
    <w:uiPriority w:val="9"/>
    <w:rPr>
      <w:rFonts w:ascii="Tahoma" w:hAnsi="Tahoma" w:eastAsia="宋体"/>
      <w:b/>
      <w:bCs/>
      <w:sz w:val="28"/>
      <w:szCs w:val="32"/>
    </w:rPr>
  </w:style>
  <w:style w:type="paragraph" w:styleId="32">
    <w:name w:val="List Paragraph"/>
    <w:basedOn w:val="1"/>
    <w:qFormat/>
    <w:uiPriority w:val="34"/>
    <w:pPr>
      <w:ind w:firstLine="420" w:firstLineChars="200"/>
    </w:pPr>
  </w:style>
  <w:style w:type="character" w:customStyle="1" w:styleId="33">
    <w:name w:val="标题 4 Char"/>
    <w:basedOn w:val="24"/>
    <w:link w:val="5"/>
    <w:qFormat/>
    <w:uiPriority w:val="9"/>
    <w:rPr>
      <w:rFonts w:asciiTheme="majorHAnsi" w:hAnsiTheme="majorHAnsi" w:eastAsiaTheme="majorEastAsia" w:cstheme="majorBidi"/>
      <w:b/>
      <w:bCs/>
      <w:sz w:val="28"/>
      <w:szCs w:val="28"/>
    </w:rPr>
  </w:style>
  <w:style w:type="character" w:customStyle="1" w:styleId="34">
    <w:name w:val="正文缩进2格 Char"/>
    <w:link w:val="35"/>
    <w:qFormat/>
    <w:uiPriority w:val="0"/>
    <w:rPr>
      <w:rFonts w:ascii="仿宋_GB2312" w:hAnsi="宋体" w:eastAsia="仿宋_GB2312"/>
      <w:kern w:val="2"/>
      <w:sz w:val="31"/>
    </w:rPr>
  </w:style>
  <w:style w:type="paragraph" w:customStyle="1" w:styleId="35">
    <w:name w:val="正文缩进2格"/>
    <w:basedOn w:val="1"/>
    <w:link w:val="34"/>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6">
    <w:name w:val="正文缩进4格"/>
    <w:basedOn w:val="35"/>
    <w:qFormat/>
    <w:uiPriority w:val="0"/>
    <w:pPr>
      <w:ind w:left="2" w:firstLine="538" w:firstLineChars="192"/>
    </w:pPr>
    <w:rPr>
      <w:color w:val="0000FF"/>
      <w:sz w:val="28"/>
    </w:rPr>
  </w:style>
  <w:style w:type="character" w:customStyle="1" w:styleId="37">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8">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9">
    <w:name w:val="标题1"/>
    <w:qFormat/>
    <w:uiPriority w:val="0"/>
    <w:rPr>
      <w:rFonts w:ascii="Times New Roman" w:hAnsi="Times New Roman" w:eastAsia="宋体" w:cs="Times New Roman"/>
      <w:b/>
      <w:kern w:val="0"/>
      <w:sz w:val="24"/>
      <w:szCs w:val="20"/>
      <w:lang w:eastAsia="en-US"/>
    </w:rPr>
  </w:style>
  <w:style w:type="character" w:customStyle="1" w:styleId="40">
    <w:name w:val="标题 3.1 Char"/>
    <w:link w:val="41"/>
    <w:qFormat/>
    <w:uiPriority w:val="0"/>
    <w:rPr>
      <w:rFonts w:ascii="宋体" w:hAnsi="宋体" w:eastAsia="宋体"/>
      <w:b/>
      <w:color w:val="FF0000"/>
      <w:kern w:val="2"/>
      <w:sz w:val="32"/>
    </w:rPr>
  </w:style>
  <w:style w:type="paragraph" w:customStyle="1" w:styleId="41">
    <w:name w:val="标题 3.1"/>
    <w:basedOn w:val="4"/>
    <w:link w:val="40"/>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2">
    <w:name w:val="样式 楷体_GB2312 小四"/>
    <w:qFormat/>
    <w:uiPriority w:val="0"/>
    <w:rPr>
      <w:rFonts w:ascii="楷体_GB2312" w:hAnsi="楷体_GB2312" w:eastAsia="仿宋_GB2312"/>
      <w:sz w:val="24"/>
    </w:rPr>
  </w:style>
  <w:style w:type="character" w:customStyle="1" w:styleId="43">
    <w:name w:val="纯文本 Char"/>
    <w:qFormat/>
    <w:uiPriority w:val="0"/>
    <w:rPr>
      <w:rFonts w:ascii="宋体" w:hAnsi="Courier New" w:eastAsia="宋体" w:cs="Times New Roman"/>
      <w:b/>
      <w:kern w:val="2"/>
      <w:sz w:val="21"/>
      <w:szCs w:val="20"/>
    </w:rPr>
  </w:style>
  <w:style w:type="character" w:customStyle="1" w:styleId="44">
    <w:name w:val="纯文本 Char1"/>
    <w:basedOn w:val="24"/>
    <w:link w:val="10"/>
    <w:semiHidden/>
    <w:qFormat/>
    <w:uiPriority w:val="99"/>
    <w:rPr>
      <w:rFonts w:ascii="宋体" w:hAnsi="Courier New" w:eastAsia="宋体" w:cs="Courier New"/>
      <w:sz w:val="21"/>
      <w:szCs w:val="21"/>
    </w:rPr>
  </w:style>
  <w:style w:type="character" w:customStyle="1" w:styleId="45">
    <w:name w:val="页眉 Char"/>
    <w:basedOn w:val="24"/>
    <w:link w:val="14"/>
    <w:qFormat/>
    <w:uiPriority w:val="99"/>
    <w:rPr>
      <w:rFonts w:ascii="Tahoma" w:hAnsi="Tahoma"/>
      <w:sz w:val="18"/>
      <w:szCs w:val="18"/>
    </w:rPr>
  </w:style>
  <w:style w:type="character" w:customStyle="1" w:styleId="46">
    <w:name w:val="页脚 Char"/>
    <w:basedOn w:val="24"/>
    <w:link w:val="13"/>
    <w:qFormat/>
    <w:uiPriority w:val="99"/>
    <w:rPr>
      <w:rFonts w:ascii="Tahoma" w:hAnsi="Tahoma"/>
      <w:sz w:val="18"/>
      <w:szCs w:val="18"/>
    </w:rPr>
  </w:style>
  <w:style w:type="character" w:customStyle="1" w:styleId="47">
    <w:name w:val="批注框文本 Char"/>
    <w:basedOn w:val="24"/>
    <w:link w:val="12"/>
    <w:semiHidden/>
    <w:qFormat/>
    <w:uiPriority w:val="99"/>
    <w:rPr>
      <w:rFonts w:ascii="Tahoma" w:hAnsi="Tahoma"/>
      <w:sz w:val="18"/>
      <w:szCs w:val="18"/>
    </w:rPr>
  </w:style>
  <w:style w:type="paragraph" w:customStyle="1" w:styleId="48">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9">
    <w:name w:val="普通(网站) Char"/>
    <w:link w:val="21"/>
    <w:qFormat/>
    <w:uiPriority w:val="0"/>
    <w:rPr>
      <w:rFonts w:eastAsia="宋体"/>
      <w:kern w:val="2"/>
      <w:sz w:val="24"/>
      <w:szCs w:val="24"/>
    </w:rPr>
  </w:style>
  <w:style w:type="paragraph" w:customStyle="1" w:styleId="50">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1">
    <w:name w:val="p141"/>
    <w:qFormat/>
    <w:uiPriority w:val="0"/>
    <w:rPr>
      <w:sz w:val="21"/>
      <w:szCs w:val="21"/>
    </w:rPr>
  </w:style>
  <w:style w:type="paragraph" w:customStyle="1" w:styleId="52">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3">
    <w:name w:val="正文无缩进"/>
    <w:basedOn w:val="35"/>
    <w:qFormat/>
    <w:uiPriority w:val="0"/>
    <w:pPr>
      <w:ind w:firstLine="0" w:firstLineChars="0"/>
    </w:pPr>
  </w:style>
  <w:style w:type="paragraph" w:customStyle="1" w:styleId="5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Pages>73</Pages>
  <Words>32715</Words>
  <Characters>33586</Characters>
  <Lines>264</Lines>
  <Paragraphs>74</Paragraphs>
  <TotalTime>3</TotalTime>
  <ScaleCrop>false</ScaleCrop>
  <LinksUpToDate>false</LinksUpToDate>
  <CharactersWithSpaces>35801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Lu</cp:lastModifiedBy>
  <cp:lastPrinted>2021-08-17T07:53:00Z</cp:lastPrinted>
  <dcterms:modified xsi:type="dcterms:W3CDTF">2021-09-10T07:30:14Z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FA883B9110314357BCCB0107BE1C437D</vt:lpwstr>
  </property>
</Properties>
</file>