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横沥镇交通信号灯维护、优化配时项目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GDZT2021105C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东莞市公安局交通警察支队</w:t>
            </w:r>
            <w:r>
              <w:rPr>
                <w:rFonts w:hint="eastAsia" w:ascii="黑体" w:hAnsi="黑体" w:eastAsia="黑体" w:cs="黑体"/>
                <w:bCs/>
                <w:color w:val="auto"/>
                <w:sz w:val="32"/>
                <w:szCs w:val="24"/>
                <w:highlight w:val="none"/>
                <w:lang w:val="en-US" w:eastAsia="zh-CN"/>
              </w:rPr>
              <w:t>横沥</w:t>
            </w:r>
            <w:r>
              <w:rPr>
                <w:rFonts w:hint="eastAsia" w:ascii="黑体" w:hAnsi="黑体" w:eastAsia="黑体" w:cs="黑体"/>
                <w:bCs/>
                <w:color w:val="auto"/>
                <w:sz w:val="32"/>
                <w:szCs w:val="24"/>
                <w:highlight w:val="none"/>
              </w:rPr>
              <w:t>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东莞市公安局交通警察支队</w:t>
      </w:r>
      <w:r>
        <w:rPr>
          <w:rFonts w:hint="eastAsia" w:ascii="宋体" w:hAnsi="宋体" w:eastAsia="宋体"/>
          <w:b/>
          <w:bCs/>
          <w:color w:val="auto"/>
          <w:sz w:val="21"/>
          <w:szCs w:val="21"/>
          <w:highlight w:val="none"/>
          <w:u w:val="single"/>
          <w:lang w:val="en-US" w:eastAsia="zh-CN"/>
        </w:rPr>
        <w:t>横沥</w:t>
      </w:r>
      <w:r>
        <w:rPr>
          <w:rFonts w:hint="eastAsia" w:ascii="宋体" w:hAnsi="宋体" w:eastAsia="宋体"/>
          <w:b/>
          <w:bCs/>
          <w:color w:val="auto"/>
          <w:sz w:val="21"/>
          <w:szCs w:val="21"/>
          <w:highlight w:val="none"/>
          <w:u w:val="single"/>
        </w:rPr>
        <w:t>大队</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lang w:val="en-US" w:eastAsia="zh-CN"/>
        </w:rPr>
        <w:t>横沥镇交通信号灯维护、优化配时项目</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GDZT2021105C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bookmarkStart w:id="228" w:name="_GoBack"/>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lang w:val="en-US" w:eastAsia="zh-CN"/>
        </w:rPr>
        <w:t>横沥镇交通信号灯维护、优化配时项目</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lang w:val="en-US" w:eastAsia="zh-CN"/>
        </w:rPr>
        <w:t>720,700.00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bookmarkEnd w:id="228"/>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（1）投标人须为在中华人民共和国境内登记注册的具有独立承担民事责任能力的法人或经由总公司授权的分公司或其他组织；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 xml:space="preserve">）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ascii="宋体" w:hAnsi="宋体" w:eastAsia="宋体"/>
          <w:b/>
          <w:color w:val="auto"/>
          <w:sz w:val="21"/>
          <w:szCs w:val="21"/>
          <w:highlight w:val="none"/>
        </w:rPr>
      </w:pPr>
      <w:r>
        <w:rPr>
          <w:rFonts w:hint="eastAsia" w:ascii="宋体" w:hAnsi="宋体" w:eastAsia="宋体"/>
          <w:color w:val="auto"/>
          <w:sz w:val="21"/>
          <w:szCs w:val="21"/>
          <w:highlight w:val="none"/>
        </w:rPr>
        <w:t>投标人（含其上级分公司及总公司）具有公安部门颁发的《安全技术防范系统设计、施工、维修资格证》</w:t>
      </w:r>
      <w:r>
        <w:rPr>
          <w:rFonts w:hint="eastAsia" w:ascii="宋体" w:hAnsi="宋体" w:eastAsia="宋体"/>
          <w:color w:val="auto"/>
          <w:sz w:val="21"/>
          <w:szCs w:val="21"/>
          <w:highlight w:val="none"/>
          <w:lang w:val="en-US" w:eastAsia="zh-CN"/>
        </w:rPr>
        <w:t>四</w:t>
      </w:r>
      <w:r>
        <w:rPr>
          <w:rFonts w:hint="eastAsia" w:ascii="宋体" w:hAnsi="宋体" w:eastAsia="宋体"/>
          <w:color w:val="auto"/>
          <w:sz w:val="21"/>
          <w:szCs w:val="21"/>
          <w:highlight w:val="none"/>
        </w:rPr>
        <w:t>级或以上资质（非广东省企业须提供所在地省（自治区、直辖市）公安厅（局）发放的有效的安全技术防范系统设计、施工、维修资格证书，或者是省级以上安防行业协会颁发的有效的安防工程企业设计施工维护能力证书及广东省公安部门颁发的同等级备案证明）</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b/>
          <w:color w:val="auto"/>
          <w:sz w:val="21"/>
          <w:szCs w:val="21"/>
          <w:highlight w:val="none"/>
          <w:lang w:val="en-US" w:eastAsia="zh-CN"/>
        </w:rPr>
        <w:t>四</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下午14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下午14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b/>
          <w:color w:val="auto"/>
          <w:sz w:val="21"/>
          <w:szCs w:val="21"/>
          <w:highlight w:val="none"/>
          <w:lang w:val="en-US" w:eastAsia="zh-CN"/>
        </w:rPr>
        <w:t>五</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曾队</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bCs/>
          <w:color w:val="auto"/>
          <w:sz w:val="21"/>
          <w:szCs w:val="21"/>
          <w:highlight w:val="none"/>
          <w:lang w:val="en-US" w:eastAsia="zh-CN"/>
        </w:rPr>
        <w:t>东莞市横沥镇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color w:val="auto"/>
          <w:sz w:val="21"/>
          <w:szCs w:val="21"/>
          <w:highlight w:val="none"/>
        </w:rPr>
        <w:t>0769-81011638</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769552785@qq.com</w:t>
      </w: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政通招标网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http://www.zttendering.com/</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核心产品</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本项目为服务采购，无核心产品</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val="en-US" w:eastAsia="zh-CN"/>
              </w:rPr>
              <w:t>捌仟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8,000.00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号：6232590699050027844</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16（仅适用于政府采购项目）</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26分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restart"/>
            <w:tcBorders>
              <w:top w:val="single" w:color="auto" w:sz="4" w:space="0"/>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ascii="宋体" w:eastAsia="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投标人实力</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投标人（含其上级分公司及总公司）具有由国家认证认可监督管理部门批准设立的认证机构颁发并在有效期内的信息技术（IT）服务管理体系认证</w:t>
            </w:r>
            <w:r>
              <w:rPr>
                <w:rFonts w:hint="eastAsia" w:ascii="宋体" w:eastAsia="宋体" w:cs="宋体"/>
                <w:bCs/>
                <w:color w:val="auto"/>
                <w:sz w:val="21"/>
                <w:szCs w:val="21"/>
                <w:highlight w:val="none"/>
                <w:lang w:val="en-US" w:eastAsia="zh-CN"/>
              </w:rPr>
              <w:t>证书、</w:t>
            </w:r>
            <w:r>
              <w:rPr>
                <w:rFonts w:hint="eastAsia" w:ascii="宋体" w:eastAsia="宋体" w:cs="宋体"/>
                <w:bCs/>
                <w:color w:val="auto"/>
                <w:sz w:val="21"/>
                <w:szCs w:val="21"/>
                <w:highlight w:val="none"/>
                <w:lang w:val="zh-CN"/>
              </w:rPr>
              <w:t>信息技术（IT）服务管理体系认证</w:t>
            </w:r>
            <w:r>
              <w:rPr>
                <w:rFonts w:hint="eastAsia" w:ascii="宋体" w:eastAsia="宋体" w:cs="宋体"/>
                <w:bCs/>
                <w:color w:val="auto"/>
                <w:sz w:val="21"/>
                <w:szCs w:val="21"/>
                <w:highlight w:val="none"/>
                <w:lang w:val="en-US" w:eastAsia="zh-CN"/>
              </w:rPr>
              <w:t>证书</w:t>
            </w:r>
            <w:r>
              <w:rPr>
                <w:rFonts w:hint="eastAsia" w:ascii="宋体" w:eastAsia="宋体" w:cs="宋体"/>
                <w:bCs/>
                <w:color w:val="auto"/>
                <w:sz w:val="21"/>
                <w:szCs w:val="21"/>
                <w:highlight w:val="none"/>
                <w:lang w:val="zh-CN"/>
              </w:rPr>
              <w:t>，每提供一个得2分，最高得4分。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注：须提供有效证书复印件及网上查询截图加盖投标人公章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投标人（含其上级分公司及总公司）具有由国家认监委批准设立的认证机构颁发并在有效期内的质量管理体系认证、环境管理体系认证、职业健康安全管理体系认证，每个得1分，最高得3分。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eastAsia="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eastAsia="zh-CN"/>
              </w:rPr>
              <w:t>投标人具有获得省级或以上政府部门或安防协会颁发的“智慧城市建设”</w:t>
            </w:r>
            <w:r>
              <w:rPr>
                <w:rFonts w:hint="eastAsia" w:ascii="宋体" w:eastAsia="宋体" w:cs="宋体"/>
                <w:bCs/>
                <w:color w:val="auto"/>
                <w:sz w:val="21"/>
                <w:szCs w:val="21"/>
                <w:highlight w:val="none"/>
                <w:lang w:val="en-US" w:eastAsia="zh-CN"/>
              </w:rPr>
              <w:t>荣誉证书</w:t>
            </w:r>
            <w:r>
              <w:rPr>
                <w:rFonts w:hint="eastAsia" w:ascii="宋体" w:eastAsia="宋体" w:cs="宋体"/>
                <w:bCs/>
                <w:color w:val="auto"/>
                <w:sz w:val="21"/>
                <w:szCs w:val="21"/>
                <w:highlight w:val="none"/>
                <w:lang w:val="zh-CN" w:eastAsia="zh-CN"/>
              </w:rPr>
              <w:t>的，</w:t>
            </w:r>
            <w:r>
              <w:rPr>
                <w:rFonts w:hint="eastAsia" w:ascii="宋体" w:eastAsia="宋体" w:cs="宋体"/>
                <w:bCs/>
                <w:color w:val="auto"/>
                <w:sz w:val="21"/>
                <w:szCs w:val="21"/>
                <w:highlight w:val="none"/>
                <w:lang w:val="en-US" w:eastAsia="zh-CN"/>
              </w:rPr>
              <w:t>得3</w:t>
            </w:r>
            <w:r>
              <w:rPr>
                <w:rFonts w:hint="eastAsia" w:ascii="宋体" w:eastAsia="宋体" w:cs="宋体"/>
                <w:bCs/>
                <w:color w:val="auto"/>
                <w:sz w:val="21"/>
                <w:szCs w:val="21"/>
                <w:highlight w:val="none"/>
                <w:lang w:val="zh-CN" w:eastAsia="zh-CN"/>
              </w:rPr>
              <w:t>分，无不得分。</w:t>
            </w:r>
          </w:p>
          <w:p>
            <w:pPr>
              <w:pStyle w:val="31"/>
              <w:spacing w:line="360" w:lineRule="auto"/>
              <w:ind w:firstLine="420" w:firstLineChars="200"/>
              <w:rPr>
                <w:rFonts w:hint="eastAsia" w:ascii="宋体" w:eastAsia="宋体" w:cs="宋体"/>
                <w:bCs/>
                <w:color w:val="auto"/>
                <w:sz w:val="21"/>
                <w:szCs w:val="21"/>
                <w:highlight w:val="none"/>
                <w:lang w:val="zh-CN" w:eastAsia="zh-CN"/>
              </w:rPr>
            </w:pPr>
            <w:r>
              <w:rPr>
                <w:rFonts w:hint="eastAsia" w:ascii="宋体" w:eastAsia="宋体" w:cs="宋体"/>
                <w:bCs/>
                <w:color w:val="auto"/>
                <w:sz w:val="21"/>
                <w:szCs w:val="21"/>
                <w:highlight w:val="none"/>
                <w:lang w:val="zh-CN" w:eastAsia="zh-CN"/>
              </w:rPr>
              <w:t>注：须提供有效</w:t>
            </w:r>
            <w:r>
              <w:rPr>
                <w:rFonts w:hint="eastAsia" w:ascii="宋体" w:eastAsia="宋体" w:cs="宋体"/>
                <w:bCs/>
                <w:color w:val="auto"/>
                <w:sz w:val="21"/>
                <w:szCs w:val="21"/>
                <w:highlight w:val="none"/>
                <w:lang w:val="en-US" w:eastAsia="zh-CN"/>
              </w:rPr>
              <w:t>荣誉</w:t>
            </w:r>
            <w:r>
              <w:rPr>
                <w:rFonts w:hint="eastAsia" w:ascii="宋体" w:eastAsia="宋体" w:cs="宋体"/>
                <w:bCs/>
                <w:color w:val="auto"/>
                <w:sz w:val="21"/>
                <w:szCs w:val="21"/>
                <w:highlight w:val="none"/>
                <w:lang w:val="zh-CN" w:eastAsia="zh-CN"/>
              </w:rPr>
              <w:t>证书复印件加盖投标人公章，</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投标人所完成视频监控项目有获得省级或以上政府部门或安防协会颁发的“典范工程”</w:t>
            </w:r>
            <w:r>
              <w:rPr>
                <w:rFonts w:hint="eastAsia" w:ascii="宋体" w:eastAsia="宋体" w:cs="宋体"/>
                <w:bCs/>
                <w:color w:val="auto"/>
                <w:sz w:val="21"/>
                <w:szCs w:val="21"/>
                <w:highlight w:val="none"/>
                <w:lang w:val="en-US" w:eastAsia="zh-CN"/>
              </w:rPr>
              <w:t>荣誉证书</w:t>
            </w:r>
            <w:r>
              <w:rPr>
                <w:rFonts w:hint="eastAsia" w:ascii="宋体" w:eastAsia="宋体" w:cs="宋体"/>
                <w:bCs/>
                <w:color w:val="auto"/>
                <w:sz w:val="21"/>
                <w:szCs w:val="21"/>
                <w:highlight w:val="none"/>
                <w:lang w:val="zh-CN"/>
              </w:rPr>
              <w:t>的，得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分，无不得分。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w:t>
            </w:r>
            <w:r>
              <w:rPr>
                <w:rFonts w:hint="eastAsia" w:ascii="宋体" w:eastAsia="宋体" w:cs="宋体"/>
                <w:bCs/>
                <w:color w:val="auto"/>
                <w:sz w:val="21"/>
                <w:szCs w:val="21"/>
                <w:highlight w:val="none"/>
                <w:lang w:val="en-US" w:eastAsia="zh-CN"/>
              </w:rPr>
              <w:t>荣誉</w:t>
            </w:r>
            <w:r>
              <w:rPr>
                <w:rFonts w:hint="eastAsia" w:ascii="宋体" w:eastAsia="宋体" w:cs="宋体"/>
                <w:bCs/>
                <w:color w:val="auto"/>
                <w:sz w:val="21"/>
                <w:szCs w:val="21"/>
                <w:highlight w:val="none"/>
                <w:lang w:val="zh-CN"/>
              </w:rPr>
              <w:t>证书复印件加盖投标人公章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690" w:type="dxa"/>
            <w:tcBorders>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根据投标人（含其上级分公司及总公司）具有电子警察、监控类建设或维护类项目业绩</w:t>
            </w:r>
            <w:r>
              <w:rPr>
                <w:rFonts w:hint="eastAsia" w:ascii="宋体" w:eastAsia="宋体" w:cs="宋体"/>
                <w:bCs/>
                <w:color w:val="auto"/>
                <w:sz w:val="21"/>
                <w:szCs w:val="21"/>
                <w:highlight w:val="none"/>
                <w:lang w:val="en-US" w:eastAsia="zh-CN"/>
              </w:rPr>
              <w:t>的</w:t>
            </w:r>
            <w:r>
              <w:rPr>
                <w:rFonts w:hint="eastAsia" w:ascii="宋体" w:eastAsia="宋体" w:cs="宋体"/>
                <w:bCs/>
                <w:color w:val="auto"/>
                <w:sz w:val="21"/>
                <w:szCs w:val="21"/>
                <w:highlight w:val="none"/>
                <w:lang w:val="zh-CN"/>
              </w:rPr>
              <w:t>，每提供一个得1分，最高得10分。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zh-CN"/>
              </w:rPr>
              <w:t>注：须同时提供中标(成交)通知书</w:t>
            </w:r>
            <w:r>
              <w:rPr>
                <w:rFonts w:hint="eastAsia" w:ascii="宋体" w:eastAsia="宋体" w:cs="宋体"/>
                <w:bCs/>
                <w:color w:val="auto"/>
                <w:sz w:val="21"/>
                <w:szCs w:val="21"/>
                <w:highlight w:val="none"/>
                <w:lang w:val="en-US" w:eastAsia="zh-CN"/>
              </w:rPr>
              <w:t>及</w:t>
            </w:r>
            <w:r>
              <w:rPr>
                <w:rFonts w:hint="eastAsia" w:ascii="宋体" w:eastAsia="宋体" w:cs="宋体"/>
                <w:bCs/>
                <w:color w:val="auto"/>
                <w:sz w:val="21"/>
                <w:szCs w:val="21"/>
                <w:highlight w:val="none"/>
                <w:lang w:val="zh-CN"/>
              </w:rPr>
              <w:t>合同复印件加盖投标人公章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服务便利性</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根据投标人提供的服务响应时间承诺进行评分：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1、投标人承诺在接到采购人通知后1小时内（不含）到指定地点的，得3分；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2、投标人承诺在接到采购人通知后2小时内（不含）到指定地点的，得2分；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3、投标人承诺在接到采购人通知后</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小时内（不含）到指定地点的，得1分；</w:t>
            </w:r>
            <w:r>
              <w:rPr>
                <w:rFonts w:hint="eastAsia" w:ascii="宋体" w:eastAsia="宋体" w:cs="宋体"/>
                <w:bCs/>
                <w:color w:val="auto"/>
                <w:sz w:val="21"/>
                <w:szCs w:val="21"/>
                <w:highlight w:val="none"/>
                <w:lang w:val="en-US" w:eastAsia="zh-CN"/>
              </w:rPr>
              <w:t xml:space="preserve">    </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、投标人</w:t>
            </w:r>
            <w:r>
              <w:rPr>
                <w:rFonts w:hint="eastAsia" w:ascii="宋体" w:eastAsia="宋体" w:cs="宋体"/>
                <w:bCs/>
                <w:color w:val="auto"/>
                <w:sz w:val="21"/>
                <w:szCs w:val="21"/>
                <w:highlight w:val="none"/>
                <w:lang w:val="en-US" w:eastAsia="zh-CN"/>
              </w:rPr>
              <w:t>未提供承诺或</w:t>
            </w:r>
            <w:r>
              <w:rPr>
                <w:rFonts w:hint="eastAsia" w:asci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lang w:val="en-US" w:eastAsia="zh-CN"/>
              </w:rPr>
              <w:t>超过3</w:t>
            </w:r>
            <w:r>
              <w:rPr>
                <w:rFonts w:hint="eastAsia" w:ascii="宋体" w:eastAsia="宋体" w:cs="宋体"/>
                <w:bCs/>
                <w:color w:val="auto"/>
                <w:sz w:val="21"/>
                <w:szCs w:val="21"/>
                <w:highlight w:val="none"/>
                <w:lang w:val="zh-CN"/>
              </w:rPr>
              <w:t>小时（</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val="zh-CN"/>
              </w:rPr>
              <w:t>）到指定地点的，不得分。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注：</w:t>
            </w:r>
            <w:r>
              <w:rPr>
                <w:rFonts w:hint="eastAsia" w:ascii="宋体" w:eastAsia="宋体" w:cs="宋体"/>
                <w:bCs/>
                <w:color w:val="auto"/>
                <w:sz w:val="21"/>
                <w:szCs w:val="21"/>
                <w:highlight w:val="none"/>
                <w:lang w:val="zh-CN"/>
              </w:rPr>
              <w:t>须在提供单独的服务响应承诺书并加盖投标人公章，</w:t>
            </w:r>
            <w:r>
              <w:rPr>
                <w:rFonts w:hint="eastAsia" w:asci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54分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对本项目的理解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根据投</w:t>
            </w:r>
            <w:r>
              <w:rPr>
                <w:rFonts w:hint="eastAsia" w:ascii="宋体" w:eastAsia="宋体" w:cs="宋体"/>
                <w:bCs/>
                <w:color w:val="auto"/>
                <w:sz w:val="21"/>
                <w:szCs w:val="21"/>
                <w:highlight w:val="none"/>
                <w:lang w:val="zh-CN"/>
              </w:rPr>
              <w:t>标人对本项目的理解（施工内容、实施现场、路面现状情况等理解熟悉情况）进行综合评审：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)项目施工内容理解透彻，对实施现场、路面情况非常熟悉，有利于项目实施，得</w:t>
            </w:r>
            <w:r>
              <w:rPr>
                <w:rFonts w:hint="eastAsia" w:ascii="宋体" w:eastAsia="宋体" w:cs="宋体"/>
                <w:bCs/>
                <w:color w:val="auto"/>
                <w:sz w:val="21"/>
                <w:szCs w:val="21"/>
                <w:highlight w:val="none"/>
                <w:lang w:val="en-US" w:eastAsia="zh-CN"/>
              </w:rPr>
              <w:t>12</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)项目施工内容理解清晰，对实施现场、路面情况熟悉，基本符合项目要求，得</w:t>
            </w:r>
            <w:r>
              <w:rPr>
                <w:rFonts w:hint="eastAsia" w:ascii="宋体" w:eastAsia="宋体" w:cs="宋体"/>
                <w:bCs/>
                <w:color w:val="auto"/>
                <w:sz w:val="21"/>
                <w:szCs w:val="21"/>
                <w:highlight w:val="none"/>
                <w:lang w:val="en-US" w:eastAsia="zh-CN"/>
              </w:rPr>
              <w:t>8</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)对本项目施工内容理解薄弱，对实施现场、路面情况不完全熟悉，较难顺利完成本项目要求，得</w:t>
            </w: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)对本项目施工内容理解</w:t>
            </w:r>
            <w:r>
              <w:rPr>
                <w:rFonts w:hint="eastAsia" w:ascii="宋体" w:eastAsia="宋体" w:cs="宋体"/>
                <w:bCs/>
                <w:color w:val="auto"/>
                <w:sz w:val="21"/>
                <w:szCs w:val="21"/>
                <w:highlight w:val="none"/>
                <w:lang w:val="en-US" w:eastAsia="zh-CN"/>
              </w:rPr>
              <w:t>不清晰</w:t>
            </w:r>
            <w:r>
              <w:rPr>
                <w:rFonts w:hint="eastAsia" w:ascii="宋体" w:eastAsia="宋体" w:cs="宋体"/>
                <w:bCs/>
                <w:color w:val="auto"/>
                <w:sz w:val="21"/>
                <w:szCs w:val="21"/>
                <w:highlight w:val="none"/>
                <w:lang w:val="zh-CN"/>
              </w:rPr>
              <w:t>，对实施现场、路面情况不熟悉，</w:t>
            </w:r>
            <w:r>
              <w:rPr>
                <w:rFonts w:hint="eastAsia" w:ascii="宋体" w:eastAsia="宋体" w:cs="宋体"/>
                <w:bCs/>
                <w:color w:val="auto"/>
                <w:sz w:val="21"/>
                <w:szCs w:val="21"/>
                <w:highlight w:val="none"/>
                <w:lang w:val="en-US" w:eastAsia="zh-CN"/>
              </w:rPr>
              <w:t>不能</w:t>
            </w:r>
            <w:r>
              <w:rPr>
                <w:rFonts w:hint="eastAsia" w:ascii="宋体" w:eastAsia="宋体" w:cs="宋体"/>
                <w:bCs/>
                <w:color w:val="auto"/>
                <w:sz w:val="21"/>
                <w:szCs w:val="21"/>
                <w:highlight w:val="none"/>
                <w:lang w:val="zh-CN"/>
              </w:rPr>
              <w:t>顺利完成本项目要求，得1分；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维护方案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根据投标人所提供维护方案的详细性、合理性、针对性等进行综合评审：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）施工方案详细完整合理，方案针对性高，切合本项目需求，得15分；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）施工方案较详细，方案针对性和合理性较高，较为满足本项目需求，</w:t>
            </w:r>
            <w:r>
              <w:rPr>
                <w:rFonts w:hint="eastAsia" w:ascii="宋体" w:eastAsia="宋体" w:cs="宋体"/>
                <w:bCs/>
                <w:color w:val="auto"/>
                <w:sz w:val="21"/>
                <w:szCs w:val="21"/>
                <w:highlight w:val="none"/>
                <w:lang w:val="en-US" w:eastAsia="zh-CN"/>
              </w:rPr>
              <w:t>10</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）施工方案存在缺漏，方案针对性和合理性一般，基本满足本项目需求，得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）施工方案缺漏较多，方案针对性和合理性较差，得1分；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）未提供施工方案不得分。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人员配置情况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根据投标人（含其上级分公司及总公司）拟投入本项目的服务人员情况进行评审：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1、具有由省级或以上公共安全技术防范协会颁发的安防从业人员证书，每提供一个得1分，最高得3分；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2、具有信息安全保障人员认证证书（ISCCC）或注册信息安全员（CISM），每提供一个得1分，最高得3分；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3、具有人力资源和社会保障部门或工业和信息化部门颁发的网络规划设计师（高级），每提供一个得1分，最高得1分；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4、具有技人力资源和社会保障部门或工业和信息化部门颁发的信息系统项目管理师证书（高级），每提供一个得1分，最高得3分；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5、具有人力资源和社会保障部门或工业和信息化部门颁发的中级（或以上）工程师职称证书（证书类别为软件、通信、网络、电子类中的任意一类），每提供一个得0.2分，最高得2分；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以上同一人员具有多个证书的不重复得分，以得分最高的计分；须提供人员证书及投标人为其缴纳的距开标时间（不含当月）近半年内任意三个月投标人为其购买的社保证明复印件加盖投标人公章，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0" w:type="dxa"/>
            <w:vMerge w:val="restart"/>
            <w:tcBorders>
              <w:top w:val="single" w:color="auto" w:sz="4" w:space="0"/>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7"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售后服务保障</w:t>
            </w:r>
          </w:p>
        </w:tc>
        <w:tc>
          <w:tcPr>
            <w:tcW w:w="762"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投标人具有由国家认证认可监督管理部门批准设立的认证机构颁发并在有效期内的售后服务认证证书，五星级得5 分，</w:t>
            </w:r>
            <w:r>
              <w:rPr>
                <w:rFonts w:hint="eastAsia" w:ascii="宋体" w:eastAsia="宋体" w:cs="宋体"/>
                <w:bCs/>
                <w:color w:val="auto"/>
                <w:sz w:val="21"/>
                <w:szCs w:val="21"/>
                <w:highlight w:val="none"/>
                <w:lang w:val="en-US" w:eastAsia="zh-CN"/>
              </w:rPr>
              <w:t>四</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 xml:space="preserve"> 分</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三</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 xml:space="preserve"> 分</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zh-CN"/>
              </w:rPr>
              <w:t>无</w:t>
            </w:r>
            <w:r>
              <w:rPr>
                <w:rFonts w:hint="eastAsia" w:ascii="宋体" w:eastAsia="宋体" w:cs="宋体"/>
                <w:bCs/>
                <w:color w:val="auto"/>
                <w:sz w:val="21"/>
                <w:szCs w:val="21"/>
                <w:highlight w:val="none"/>
                <w:lang w:val="en-US" w:eastAsia="zh-CN"/>
              </w:rPr>
              <w:t>提供</w:t>
            </w:r>
            <w:r>
              <w:rPr>
                <w:rFonts w:hint="eastAsia" w:ascii="宋体" w:eastAsia="宋体" w:cs="宋体"/>
                <w:bCs/>
                <w:color w:val="auto"/>
                <w:sz w:val="21"/>
                <w:szCs w:val="21"/>
                <w:highlight w:val="none"/>
                <w:lang w:val="zh-CN"/>
              </w:rPr>
              <w:t>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w:t>
            </w:r>
            <w:r>
              <w:rPr>
                <w:rFonts w:hint="eastAsia" w:ascii="宋体" w:eastAsia="宋体" w:cs="宋体"/>
                <w:bCs/>
                <w:color w:val="auto"/>
                <w:sz w:val="21"/>
                <w:szCs w:val="21"/>
                <w:highlight w:val="none"/>
                <w:lang w:val="en-US" w:eastAsia="zh-CN"/>
              </w:rPr>
              <w:t>并</w:t>
            </w:r>
            <w:r>
              <w:rPr>
                <w:rFonts w:hint="eastAsia" w:ascii="宋体" w:eastAsia="宋体" w:cs="宋体"/>
                <w:bCs/>
                <w:color w:val="auto"/>
                <w:sz w:val="21"/>
                <w:szCs w:val="21"/>
                <w:highlight w:val="none"/>
                <w:lang w:val="zh-CN"/>
              </w:rPr>
              <w:t>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p>
        </w:tc>
        <w:tc>
          <w:tcPr>
            <w:tcW w:w="762" w:type="dxa"/>
            <w:vMerge w:val="continue"/>
            <w:tcBorders>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投标人具有日常巡查维护车，每提供一辆自有车辆的得1分，最高得10分，日常巡查维护车中至少有一辆为中型（或以上）专项作业车辆 ，否则不予计分。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注：所投入的车辆须提供清晰车辆照片、有效的车辆行驶证复印件加盖投标人公章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5"/>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6"/>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6" w:name="_Toc31278"/>
      <w:bookmarkStart w:id="7" w:name="_Toc13112"/>
      <w:bookmarkStart w:id="8" w:name="_Toc24679"/>
      <w:bookmarkStart w:id="9" w:name="_Toc14462"/>
      <w:r>
        <w:rPr>
          <w:rFonts w:hint="eastAsia"/>
          <w:color w:val="auto"/>
          <w:highlight w:val="none"/>
          <w:lang w:val="en-US" w:eastAsia="zh-CN"/>
        </w:rPr>
        <w:t>第一章</w:t>
      </w:r>
      <w:r>
        <w:rPr>
          <w:rFonts w:hint="eastAsia"/>
          <w:color w:val="auto"/>
          <w:highlight w:val="none"/>
        </w:rPr>
        <w:t>商务需求书</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1365"/>
        <w:gridCol w:w="6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维护期</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自签订合同之日起</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合同签订后，服务费按合同总价分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个季度支付，每季度验收合格后支付季度服务费。</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注：本项目资金来源为财政资金，相关付款程序严格遵守东莞市财政局</w:t>
            </w:r>
            <w:r>
              <w:rPr>
                <w:rFonts w:hint="eastAsia" w:ascii="宋体" w:hAnsi="宋体" w:eastAsia="宋体" w:cs="宋体"/>
                <w:color w:val="auto"/>
                <w:sz w:val="21"/>
                <w:szCs w:val="21"/>
                <w:highlight w:val="none"/>
                <w:lang w:val="en-US" w:eastAsia="zh-CN"/>
              </w:rPr>
              <w:t>横沥</w:t>
            </w:r>
            <w:r>
              <w:rPr>
                <w:rFonts w:hint="eastAsia" w:ascii="宋体" w:hAnsi="宋体" w:eastAsia="宋体" w:cs="宋体"/>
                <w:color w:val="auto"/>
                <w:sz w:val="21"/>
                <w:szCs w:val="21"/>
                <w:highlight w:val="none"/>
              </w:rPr>
              <w:t>分局财政资金支付程序规定。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2"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6481" w:type="dxa"/>
            <w:vAlign w:val="center"/>
          </w:tcPr>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1、报价应包括应包含人工工资、设备费用及其它的配件或设备（包括自然损坏、人为破坏、车辆撞击损坏查证不到、被盗）、各种税费及合同实施过程中的不可预见费用等全部费用等。</w:t>
            </w:r>
          </w:p>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2、合同总价包括国家规定的所有税费及与项目相关的所有费用。</w:t>
            </w:r>
          </w:p>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3、供应商应以人民币为结算单位。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合同条款及其他说明</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1、供应商实质响应合同各条款</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2、信号灯接电问题：在维护期内信号灯接电与被接电方产生用电纠纷，或信号灯设备被他人接电从而产生额外费用，乙方须前往协调解决纠纷，期间产生的费用由乙方支付。</w:t>
            </w:r>
          </w:p>
        </w:tc>
      </w:tr>
    </w:tbl>
    <w:p>
      <w:pPr>
        <w:pageBreakBefore w:val="0"/>
        <w:kinsoku/>
        <w:wordWrap/>
        <w:overflowPunct/>
        <w:topLinePunct w:val="0"/>
        <w:autoSpaceDE/>
        <w:autoSpaceDN/>
        <w:bidi w:val="0"/>
        <w:spacing w:after="0" w:line="360" w:lineRule="auto"/>
        <w:ind w:firstLine="422" w:firstLineChars="200"/>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color w:val="auto"/>
          <w:highlight w:val="none"/>
        </w:rPr>
      </w:pPr>
    </w:p>
    <w:p>
      <w:pPr>
        <w:pStyle w:val="6"/>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r>
        <w:rPr>
          <w:rFonts w:hint="eastAsia"/>
          <w:color w:val="auto"/>
          <w:highlight w:val="none"/>
          <w:lang w:val="en-US" w:eastAsia="zh-CN"/>
        </w:rPr>
        <w:t>第二章</w:t>
      </w:r>
      <w:r>
        <w:rPr>
          <w:rFonts w:hint="eastAsia"/>
          <w:color w:val="auto"/>
          <w:highlight w:val="none"/>
        </w:rPr>
        <w:t>技术需求书</w:t>
      </w:r>
    </w:p>
    <w:p>
      <w:pPr>
        <w:pStyle w:val="6"/>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一、项目内容</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横沥镇交通信号灯维护、优化配时</w:t>
      </w:r>
      <w:r>
        <w:rPr>
          <w:rFonts w:hint="eastAsia" w:ascii="宋体" w:hAnsi="宋体" w:eastAsia="宋体" w:cs="宋体"/>
          <w:color w:val="auto"/>
          <w:sz w:val="21"/>
          <w:szCs w:val="21"/>
          <w:highlight w:val="none"/>
        </w:rPr>
        <w:t>项目（包括信号灯灯组、灯杆、地下管线、线路、线材、沙井、控制机箱等</w:t>
      </w:r>
      <w:r>
        <w:rPr>
          <w:rFonts w:hint="eastAsia" w:ascii="宋体" w:hAnsi="宋体" w:eastAsia="宋体" w:cs="宋体"/>
          <w:color w:val="auto"/>
          <w:sz w:val="21"/>
          <w:szCs w:val="21"/>
          <w:highlight w:val="none"/>
          <w:lang w:val="en-US" w:eastAsia="zh-CN"/>
        </w:rPr>
        <w:t>维护及</w:t>
      </w:r>
      <w:r>
        <w:rPr>
          <w:rFonts w:hint="eastAsia" w:ascii="宋体" w:hAnsi="宋体" w:eastAsia="宋体" w:cs="宋体"/>
          <w:color w:val="auto"/>
          <w:sz w:val="21"/>
          <w:szCs w:val="21"/>
          <w:highlight w:val="none"/>
        </w:rPr>
        <w:t>信号优化配时），</w:t>
      </w:r>
      <w:r>
        <w:rPr>
          <w:rFonts w:hint="eastAsia" w:ascii="宋体" w:hAnsi="宋体" w:eastAsia="宋体" w:cs="宋体"/>
          <w:color w:val="auto"/>
          <w:sz w:val="21"/>
          <w:szCs w:val="21"/>
          <w:highlight w:val="none"/>
          <w:lang w:val="en-US" w:eastAsia="zh-CN"/>
        </w:rPr>
        <w:t>服务期为壹</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eastAsia="zh-CN"/>
        </w:rPr>
      </w:pPr>
    </w:p>
    <w:p>
      <w:pPr>
        <w:pStyle w:val="6"/>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二、项目路口清单</w:t>
      </w:r>
    </w:p>
    <w:p>
      <w:pPr>
        <w:pageBreakBefore w:val="0"/>
        <w:kinsoku/>
        <w:wordWrap/>
        <w:overflowPunct/>
        <w:topLinePunct w:val="0"/>
        <w:autoSpaceDE/>
        <w:autoSpaceDN/>
        <w:bidi w:val="0"/>
        <w:spacing w:after="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1、维护交通信号灯清单：</w:t>
      </w:r>
    </w:p>
    <w:tbl>
      <w:tblPr>
        <w:tblStyle w:val="19"/>
        <w:tblW w:w="4998" w:type="pct"/>
        <w:tblInd w:w="0" w:type="dxa"/>
        <w:shd w:val="clear" w:color="auto" w:fill="auto"/>
        <w:tblLayout w:type="autofit"/>
        <w:tblCellMar>
          <w:top w:w="0" w:type="dxa"/>
          <w:left w:w="0" w:type="dxa"/>
          <w:bottom w:w="0" w:type="dxa"/>
          <w:right w:w="0" w:type="dxa"/>
        </w:tblCellMar>
      </w:tblPr>
      <w:tblGrid>
        <w:gridCol w:w="440"/>
        <w:gridCol w:w="2839"/>
        <w:gridCol w:w="676"/>
        <w:gridCol w:w="707"/>
        <w:gridCol w:w="817"/>
        <w:gridCol w:w="2844"/>
      </w:tblGrid>
      <w:tr>
        <w:tblPrEx>
          <w:tblCellMar>
            <w:top w:w="0" w:type="dxa"/>
            <w:left w:w="0" w:type="dxa"/>
            <w:bottom w:w="0" w:type="dxa"/>
            <w:right w:w="0" w:type="dxa"/>
          </w:tblCellMar>
        </w:tblPrEx>
        <w:trPr>
          <w:trHeight w:val="5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序号</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路口名称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维护工期（月）</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说明</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东莞市横沥镇沿江中山路口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东莞市横沥镇新城振兴路口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东莞市横沥镇康乐北环路口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东莞市横沥镇恒泉西环路口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东莞市横沥镇天桥中山路口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东莞市横沥镇振兴田饶步村路口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东莞市横沥镇南环田头村路口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东莞市横沥镇骏马北环路口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东莞市横沥镇北环月塘村路口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东莞市横沥镇康乐路康乐骏马路口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东莞市横沥镇江南中山路口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东莞市横沥镇昌鸿西环路口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37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东莞市横沥镇东环龙子路口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东莞市横沥镇北环山厦工业区路口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东莞市横沥镇北环油榨村路口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东莞市横沥镇东环育才路口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东莞市横沥镇东环兴业路口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东莞市横沥镇东环新城路口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东莞市横沥镇西环金龙路口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东莞市横沥镇水边村委会育才路口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东莞市横沥镇新城兴业路口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东莞市横沥镇中山振兴路口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东莞市横沥镇中山贝涌路口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东莞市横沥镇西环和平路口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东莞市横沥镇振兴双岔路口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东莞市横沥镇村头红绿灯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东莞市横沥镇银岗加油站红绿灯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信控路口配时优化</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对横沥镇交通信号灯路口进行调研、方案设计及下方调试的工作，对不合理的信号灯设置进行相位、配时优化，以达到缓解交通拥堵的目的。</w:t>
            </w:r>
          </w:p>
        </w:tc>
      </w:tr>
    </w:tbl>
    <w:p>
      <w:pPr>
        <w:bidi w:val="0"/>
        <w:rPr>
          <w:rFonts w:hint="eastAsia"/>
          <w:color w:val="auto"/>
          <w:highlight w:val="none"/>
        </w:rPr>
      </w:pPr>
    </w:p>
    <w:p>
      <w:pPr>
        <w:pStyle w:val="6"/>
        <w:bidi w:val="0"/>
        <w:rPr>
          <w:rFonts w:hint="eastAsia"/>
          <w:color w:val="auto"/>
          <w:highlight w:val="none"/>
        </w:rPr>
      </w:pPr>
      <w:r>
        <w:rPr>
          <w:rFonts w:hint="eastAsia"/>
          <w:color w:val="auto"/>
          <w:highlight w:val="none"/>
        </w:rPr>
        <w:t>三、项目需求细则</w:t>
      </w:r>
    </w:p>
    <w:p>
      <w:pPr>
        <w:bidi w:val="0"/>
        <w:rPr>
          <w:rFonts w:hint="eastAsia"/>
          <w:color w:val="auto"/>
          <w:highlight w:val="none"/>
        </w:rPr>
      </w:pPr>
      <w:r>
        <w:rPr>
          <w:rFonts w:hint="eastAsia"/>
          <w:color w:val="auto"/>
          <w:highlight w:val="none"/>
        </w:rPr>
        <w:t>1、交通信号灯维修保养责任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中标供应商负责维修保养，所有的人工工资、设备费用及其它的配件或设备（包括自然损坏、人为破坏、车辆撞击损坏查证不到、被盗）均由中标供应商负责支付费用。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内中标供应商要配备专业技术人员定位、维修设备、专用工具，维修电话，每天要派出专人到合同指定的每个路口巡查，保障维修电话一天24小时畅通，发现信号灯发生故障或造成交通阻塞，立即要向采购人负责部门报告，同时通知中标供应商专业维修队，马上到现场抢修，做到接到报修通知1小时内到达现场，2小时内修复，重大的维修做到当日问题当日解决，当日无法维修的，要求中标供应商提供同等品质的备件，直至修复能正常使用为止。</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在合同规定的保修期内，中标供应商负责对所承包范围内的交通信号灯进行维护保养，保证每个路口信号灯完好无损，正常运行。维护期间，采购人不再另行支付费用。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维护期间，中标供应商须对承包范围内的信号灯灯组、灯杆、地下管线、线路、线材、沙井、控制机、机箱等进行全面检查，具体内容：</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1)、信号灯杆安装牢固、垂直，坚固件无松动，垂直安装的倾斜度不得超过杆体长度1%。信号灯杆、信号灯机箱清洁干净，无文字广告，无污迹，无生锈变形，机械强度满足要求。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性能测试：以三个月为一周期，中标供应商对各类电器设备进行检测、并做好参数记录。在每年的3月份雷雨季节来临前，着重对所有信号灯的接地电阻进行测试和数据记录，并检查所有的信号灯的避雷是否正常。对测试后数据达不到要求的点采用增加接地桩等措施解决，以减小接地电阻。并更换被雷击穿的避雷器。同时，检查各接地线是否正常。以保证在雷雨季节避雷器被击而造成设备损坏。依据接地电阻测试要求（信号杆及信号机箱外壳接地阻抗在10欧姆以下），对接地电阻六个月为一测试周期，因避雷器被击而造成设备损坏，由中标供应商自行承担所需费用。如果由于地接线不符合要求发生触电事故的，由中标供应商承担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被盗窃、短路、断线、老化、绝缘不符合要求的电缆中标供应商应免费予以更换。信号灯与信号机之间的电缆颜色要与灯具颜色对应连接，电缆在灯具端和信号机端连接牢固，电缆线在信号机端要根据采购人的要求进行编号。</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4)、路口信号灯有树林或其它障碍物遮挡视线时，应马上进行处理，不能处理的应上报采购人的管理部门。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5)、主动配合采购人对路口信号灯设施进行定期（每季度一次）或不定期的抽查。对抽查中发现的问题马上进行修复并对维护责任人进行扣款扣分处理。</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半年一次）对信号灯具清洗和保养，做到灯具外壳、透光玻璃、背板、遮罩、内部反光杆干净无尘，无破损，无老化变形。灯壳内无积水，密封性能好，亮度符合要求，信号灯具在杆上安装牢固，竖式安装时应垂直，横向安装时应平行，机动车信号灯具显示面正对所控制的机动车道，人行横道信号灯具显示面应正对人行横道，若有损坏或不完整的需要及时更换。</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号灯沙井要求无缺无损坏，密封性能好，新换的井盖必须有“公安交通”的标志，自觉遵守市政管理部门的工作要求，对损坏的井盖要及时更换，对被盗、损坏的井盖没有及时维修而引发的安全事故由中标供应商承担。</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8)、主动配合采购人信号灯信号配时的调试工作，积极满足信号调试部门的要求。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维护期内中标供应商对承包范围内的交通信号灯进行安全检查，因维护不到位而发生安全事故的，由中标供应商承担责任。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中标供应商须配备以下清单的备品备件，做好本项目备品备件库存工作。</w:t>
      </w:r>
    </w:p>
    <w:p>
      <w:pPr>
        <w:pageBreakBefore w:val="0"/>
        <w:kinsoku/>
        <w:wordWrap/>
        <w:overflowPunct/>
        <w:topLinePunct w:val="0"/>
        <w:autoSpaceDE/>
        <w:autoSpaceDN/>
        <w:bidi w:val="0"/>
        <w:spacing w:after="0"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rPr>
        <w:t>备品备件清单</w:t>
      </w:r>
      <w:r>
        <w:rPr>
          <w:rFonts w:hint="eastAsia" w:ascii="宋体" w:hAnsi="宋体" w:cs="宋体"/>
          <w:b/>
          <w:bCs/>
          <w:color w:val="auto"/>
          <w:sz w:val="21"/>
          <w:szCs w:val="21"/>
          <w:highlight w:val="none"/>
          <w:u w:val="single"/>
          <w:lang w:eastAsia="zh-CN"/>
        </w:rPr>
        <w:t>：</w:t>
      </w:r>
    </w:p>
    <w:tbl>
      <w:tblPr>
        <w:tblStyle w:val="19"/>
        <w:tblW w:w="3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EEECE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8" w:type="pct"/>
            <w:shd w:val="clear" w:color="auto" w:fill="EEECE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备品备件名称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人行</w:t>
            </w:r>
            <w:r>
              <w:rPr>
                <w:rFonts w:hint="eastAsia" w:ascii="宋体" w:hAnsi="宋体" w:eastAsia="宋体" w:cs="宋体"/>
                <w:color w:val="auto"/>
                <w:sz w:val="21"/>
                <w:szCs w:val="21"/>
                <w:highlight w:val="none"/>
              </w:rPr>
              <w:t>信号灯</w:t>
            </w:r>
          </w:p>
        </w:tc>
      </w:tr>
    </w:tbl>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必须每天对大队所有信号灯路口进行故障排查并建立巡查台帐（要求有当天巡查图片）交由大队。</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同一个信号灯路口一个月内设备故障不能超过两次，三个月内不能超过三次，否则按双方协定进行扣款（片区电路跳阐、停电及因施工损坏的除外）</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智能交通综合平台与各智能路口做好联网对接及对智能交通设备进行维护保养。（需做好巡查台账及图片）</w:t>
      </w:r>
    </w:p>
    <w:p>
      <w:pPr>
        <w:bidi w:val="0"/>
        <w:rPr>
          <w:rFonts w:hint="eastAsia"/>
          <w:color w:val="auto"/>
          <w:highlight w:val="none"/>
        </w:rPr>
      </w:pPr>
      <w:r>
        <w:rPr>
          <w:rFonts w:hint="eastAsia"/>
          <w:color w:val="auto"/>
          <w:highlight w:val="none"/>
        </w:rPr>
        <w:t>2、横沥镇交通信号配时方案优化需求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道路交通运行数据调查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的内容主要包括道路几何结构数据与交通运行特性数据两个方面。道路几何结构数据主要包括交叉口类型、车道功能划分等。交通运行特性数据主要包括交叉口信号配时方案、交叉口流量、大型车构成、车流高峰和平峰特性等。</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现状交通特征与问题分析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结合研究片区的土地利用现状、周边道路条件、交通运行情况，分析项目研究区域道路现状交通特征和交通问题，以问题为导向展开现状车流分析和区域交通组织策划。</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交叉口交通仿真及信号优化方案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根据交叉口运行实际情况及运行需求，构建网络级的区域交通仿真模型，结合仿真模型，对现有交叉口开展信号控制优化，并比选不同方案的优缺点，以供交警选择最佳方案，提高道路通行能力和服务水平。</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干道信号协调控制优化方案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根据区域内干道沿线交叉口运行实际情况及运行需求，开展干道信号协调控制优化，提高道路通行能力和服务水平。</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方案评价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根据研究区域的交通现状及需求特征，对项目交通信号协调控制方案进行仿真评价，并将仿真结果与现状运行情况进行对比分析，对设计方案提出反馈。 </w:t>
      </w:r>
    </w:p>
    <w:p>
      <w:pPr>
        <w:bidi w:val="0"/>
        <w:rPr>
          <w:rFonts w:hint="eastAsia"/>
          <w:color w:val="auto"/>
          <w:highlight w:val="none"/>
        </w:rPr>
      </w:pPr>
      <w:r>
        <w:rPr>
          <w:rFonts w:hint="eastAsia"/>
          <w:color w:val="auto"/>
          <w:highlight w:val="none"/>
          <w:lang w:val="en-US" w:eastAsia="zh-CN"/>
        </w:rPr>
        <w:t>3</w:t>
      </w:r>
      <w:r>
        <w:rPr>
          <w:rFonts w:hint="eastAsia"/>
          <w:color w:val="auto"/>
          <w:highlight w:val="none"/>
        </w:rPr>
        <w:t>、服务需求明细</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承包及负责招标文件对中标供应商要求的一切事宜及责任。包括产品供货、配套备品备件提供、运输、安装、施工、调试、验收、质保期保障、维护等相关服务以及中标供应商认为必要的其他服务；中标供应商应自行增加设备正常、合法、安全运行及使用所必需但招标文件没有包含的所有部件、版权、专利等一切费用，如果中标供应商在中标并签署合同后，在供货、安装、调试、维护等工作中出现货物的任何遗漏，均由中标供应商免费提供，采购人将不再支付任何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需提供必要的技术文件及相关的培训计划。中标供应商应负责对用户使用、操作、维修、保养人员免费进行培训，并提供安装使用维护说明及一定数量的必要的备品备件；中标方应将所有培训费用（含培训教材费）及各项支出分别报价，并计入投标总价；中标供应商应指派具有丰富理论知识和操作维修经验的资深技术人员担任培训讲师，对于采购人认为不合格的培训讲师，采购人有权要求更换；培训工作必须在合同执行完毕之前完成；操作培训时间安排2-5天。</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采购人有权在签订合同时对项目方案作适当修改或对产品数量作适当增加或减少。</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招标文件明确外，中标供应商不得以任何方式转包或分包本项目。</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中标供应商所投设备必须是厂商原装的、全新的，型号、性能及指标符合国家及招标文件提出的有关技术、质量、安全标准，要求的货物、所有的电器元件均为知名品牌。</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对于影响设备正常工作的必要组成部分，无论在技术规范及用户的技术要求中指出与否，中标供应商都应提供并在投标文件中明确列出。</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中标供应商应设项目负责人，负责合同执行全过程，投标书中需应介绍项目负责人的姓名、性别、联系方式。</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中标供应商须无偿提供甲方所需的有关的一切材料。</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中标供应商需提供详细的质量保证和售后服务计划。</w:t>
      </w:r>
    </w:p>
    <w:p>
      <w:pPr>
        <w:pStyle w:val="2"/>
        <w:rPr>
          <w:rFonts w:hint="eastAsia"/>
          <w:color w:val="auto"/>
          <w:highlight w:val="none"/>
        </w:rPr>
      </w:pPr>
    </w:p>
    <w:p>
      <w:pPr>
        <w:pStyle w:val="6"/>
        <w:bidi w:val="0"/>
        <w:rPr>
          <w:rFonts w:hint="eastAsia"/>
          <w:color w:val="auto"/>
          <w:highlight w:val="none"/>
        </w:rPr>
      </w:pPr>
      <w:r>
        <w:rPr>
          <w:rFonts w:hint="eastAsia"/>
          <w:color w:val="auto"/>
          <w:highlight w:val="none"/>
          <w:lang w:val="en-US" w:eastAsia="zh-CN"/>
        </w:rPr>
        <w:t>四、</w:t>
      </w:r>
      <w:r>
        <w:rPr>
          <w:rFonts w:hint="eastAsia"/>
          <w:color w:val="auto"/>
          <w:highlight w:val="none"/>
        </w:rPr>
        <w:t>服务考核评价</w:t>
      </w:r>
    </w:p>
    <w:p>
      <w:pPr>
        <w:bidi w:val="0"/>
        <w:rPr>
          <w:rFonts w:hint="eastAsia"/>
          <w:color w:val="auto"/>
          <w:highlight w:val="none"/>
        </w:rPr>
      </w:pPr>
      <w:bookmarkStart w:id="10" w:name="_Toc22921"/>
      <w:bookmarkStart w:id="11" w:name="_Toc9286"/>
      <w:r>
        <w:rPr>
          <w:rFonts w:hint="eastAsia"/>
          <w:color w:val="auto"/>
          <w:highlight w:val="none"/>
          <w:lang w:val="en-US" w:eastAsia="zh-CN"/>
        </w:rPr>
        <w:t>1、</w:t>
      </w:r>
      <w:r>
        <w:rPr>
          <w:rFonts w:hint="eastAsia"/>
          <w:color w:val="auto"/>
          <w:highlight w:val="none"/>
        </w:rPr>
        <w:t>考核内容</w:t>
      </w:r>
      <w:bookmarkEnd w:id="10"/>
      <w:bookmarkEnd w:id="11"/>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为了保证</w:t>
      </w:r>
      <w:r>
        <w:rPr>
          <w:rFonts w:hint="eastAsia" w:ascii="宋体" w:hAnsi="宋体" w:eastAsia="宋体" w:cs="宋体"/>
          <w:color w:val="auto"/>
          <w:sz w:val="21"/>
          <w:szCs w:val="21"/>
          <w:highlight w:val="none"/>
          <w:lang w:eastAsia="zh-CN"/>
        </w:rPr>
        <w:t>横沥</w:t>
      </w:r>
      <w:r>
        <w:rPr>
          <w:rFonts w:hint="eastAsia" w:ascii="宋体" w:hAnsi="宋体" w:eastAsia="宋体" w:cs="宋体"/>
          <w:color w:val="auto"/>
          <w:sz w:val="21"/>
          <w:szCs w:val="21"/>
          <w:highlight w:val="none"/>
        </w:rPr>
        <w:t>交通信号灯系统维护工作顺利高效的进行，用户单位根据交通信号灯系统维护的特点，将维护单位的维护费用纳入维护考核，并依据对维护单位的考核结果，结付维护金额。用户单位把整个管理养护项目分为如下几个部分对维护单位进行考核：</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1）设备点巡查记录；</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2）维修设备质量；</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3）安全文明施工执行情况；</w:t>
      </w:r>
    </w:p>
    <w:p>
      <w:pPr>
        <w:bidi w:val="0"/>
        <w:rPr>
          <w:rFonts w:hint="eastAsia"/>
          <w:color w:val="auto"/>
          <w:highlight w:val="none"/>
        </w:rPr>
      </w:pPr>
      <w:bookmarkStart w:id="12" w:name="_Toc18095"/>
      <w:bookmarkStart w:id="13" w:name="_Toc217"/>
      <w:r>
        <w:rPr>
          <w:rFonts w:hint="eastAsia"/>
          <w:color w:val="auto"/>
          <w:highlight w:val="none"/>
          <w:lang w:val="en-US" w:eastAsia="zh-CN"/>
        </w:rPr>
        <w:t>2、</w:t>
      </w:r>
      <w:r>
        <w:rPr>
          <w:rFonts w:hint="eastAsia"/>
          <w:color w:val="auto"/>
          <w:highlight w:val="none"/>
        </w:rPr>
        <w:t>考核依据</w:t>
      </w:r>
      <w:bookmarkEnd w:id="12"/>
      <w:bookmarkEnd w:id="13"/>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对系统故障申告，中标单位必须有文字记录，必须对故障发生的时间、故障情况、处理措施、值班人员等进行详实记录。中标单位维护工程师每次的故障处理，必须由采购单位值班人员与中标工程师双方签字确认。中标单位必须每周提供一份截至本周末时设备故障情况的汇总报表，该报表为季度考核的依据。</w:t>
      </w:r>
      <w:bookmarkStart w:id="14" w:name="_Toc4815"/>
      <w:bookmarkStart w:id="15" w:name="_Toc22145"/>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考核</w:t>
      </w:r>
      <w:bookmarkEnd w:id="14"/>
      <w:bookmarkEnd w:id="15"/>
      <w:r>
        <w:rPr>
          <w:rFonts w:hint="eastAsia" w:ascii="宋体" w:hAnsi="宋体" w:eastAsia="宋体" w:cs="宋体"/>
          <w:color w:val="auto"/>
          <w:highlight w:val="none"/>
        </w:rPr>
        <w:t>办法</w:t>
      </w:r>
    </w:p>
    <w:p>
      <w:pPr>
        <w:keepNext w:val="0"/>
        <w:keepLines w:val="0"/>
        <w:pageBreakBefore w:val="0"/>
        <w:kinsoku/>
        <w:wordWrap/>
        <w:overflowPunct/>
        <w:topLinePunct w:val="0"/>
        <w:autoSpaceDE/>
        <w:autoSpaceDN/>
        <w:bidi w:val="0"/>
        <w:adjustRightInd/>
        <w:snapToGrid/>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系统维护考核采用百分制进行考核，考核周期为季度考核、维护维护期考核。中标单位需每季度统计该季度的维护情况报表，对每部分的维护工作进行汇总，由采购单位对口管理部门进行考核评分。实行维护服务分期考核与费用支付挂钩机制,凡达不到标准要求的，均须扣减该季度维护考核得分。维护保养工作的考核由使用部门每季度按照以下考核项目逐项打分，汇总的季度考核得分与当季度结算费用挂钩,具体评分方法见下表:</w:t>
      </w:r>
    </w:p>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巡检季度评定评分表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2569"/>
        <w:gridCol w:w="1853"/>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56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每个月对每个设备点进行一次巡检（25分）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每少巡检一个设备点超过1次扣1分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维护服务实施质量（25分）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发现未符合超过1次扣1分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建立设备点维修记录（10分）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维护期间符合相关安全措施并做好文明施工。（10分）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规定时间内维护质量按原设计标准修复。（10分）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文书质量（5分）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提交报告时限（5分）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没有客户有理投诉（10分）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客户确认的现场服务单、客服中心回访记录及客户确认的客户走访记录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p>
        </w:tc>
      </w:tr>
    </w:tbl>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说明：评分采用百分制， 100-95分为好达标，不扣款；90分以上至95分（不包括95分）的，扣1500元；80分以上至90分（不包括90分）的，扣2000元； 70分以上至80分（不包括80分）的，扣2500元；60分以上至70分（不包括70分）的，扣3000元；60分以下为差，取消上季度支付，考核分值连续3个月低于75分，采购人有权终止中标供应商资格，由此引起的损失责任由中标供应商负责。</w:t>
      </w:r>
    </w:p>
    <w:p>
      <w:pPr>
        <w:pStyle w:val="2"/>
        <w:rPr>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4"/>
        <w:spacing w:before="0" w:after="0" w:line="240" w:lineRule="auto"/>
        <w:rPr>
          <w:color w:val="auto"/>
          <w:sz w:val="24"/>
          <w:szCs w:val="24"/>
          <w:highlight w:val="none"/>
        </w:rPr>
      </w:pPr>
      <w:r>
        <w:rPr>
          <w:rFonts w:hint="eastAsia"/>
          <w:color w:val="auto"/>
          <w:sz w:val="24"/>
          <w:szCs w:val="24"/>
          <w:highlight w:val="none"/>
        </w:rPr>
        <w:br w:type="page"/>
      </w:r>
      <w:bookmarkStart w:id="16" w:name="_Toc2479"/>
      <w:r>
        <w:rPr>
          <w:rFonts w:hint="eastAsia"/>
          <w:color w:val="auto"/>
          <w:sz w:val="28"/>
          <w:szCs w:val="28"/>
          <w:highlight w:val="none"/>
        </w:rPr>
        <w:t>第四部分 投标人须知</w:t>
      </w:r>
      <w:bookmarkEnd w:id="16"/>
    </w:p>
    <w:p>
      <w:pPr>
        <w:pStyle w:val="5"/>
        <w:numPr>
          <w:ilvl w:val="0"/>
          <w:numId w:val="1"/>
        </w:numPr>
        <w:spacing w:before="0" w:after="0" w:line="480" w:lineRule="auto"/>
        <w:jc w:val="center"/>
        <w:rPr>
          <w:rFonts w:ascii="宋体" w:hAnsi="宋体" w:eastAsia="宋体"/>
          <w:color w:val="auto"/>
          <w:highlight w:val="none"/>
        </w:rPr>
      </w:pPr>
      <w:bookmarkStart w:id="17" w:name="_Toc19746"/>
      <w:r>
        <w:rPr>
          <w:rFonts w:hint="eastAsia" w:ascii="宋体" w:hAnsi="宋体" w:eastAsia="宋体"/>
          <w:color w:val="auto"/>
          <w:highlight w:val="none"/>
        </w:rPr>
        <w:t>说明</w:t>
      </w:r>
      <w:bookmarkEnd w:id="17"/>
    </w:p>
    <w:p>
      <w:pPr>
        <w:pStyle w:val="6"/>
        <w:widowControl w:val="0"/>
        <w:overflowPunct w:val="0"/>
        <w:spacing w:before="0" w:after="0" w:line="240" w:lineRule="auto"/>
        <w:rPr>
          <w:rFonts w:ascii="宋体" w:hAnsi="宋体" w:eastAsia="宋体"/>
          <w:color w:val="auto"/>
          <w:sz w:val="21"/>
          <w:szCs w:val="21"/>
          <w:highlight w:val="none"/>
        </w:rPr>
      </w:pPr>
      <w:bookmarkStart w:id="18" w:name="_Toc18488"/>
      <w:r>
        <w:rPr>
          <w:rFonts w:hint="eastAsia" w:ascii="宋体" w:hAnsi="宋体" w:eastAsia="宋体"/>
          <w:color w:val="auto"/>
          <w:sz w:val="21"/>
          <w:szCs w:val="21"/>
          <w:highlight w:val="none"/>
        </w:rPr>
        <w:t>1.适用范围</w:t>
      </w:r>
      <w:bookmarkEnd w:id="18"/>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13400"/>
      <w:r>
        <w:rPr>
          <w:rFonts w:hint="eastAsia" w:ascii="宋体" w:hAnsi="宋体" w:eastAsia="宋体"/>
          <w:color w:val="auto"/>
          <w:sz w:val="21"/>
          <w:szCs w:val="21"/>
          <w:highlight w:val="none"/>
        </w:rPr>
        <w:t>2.</w:t>
      </w:r>
      <w:bookmarkStart w:id="20" w:name="_Toc303084246"/>
      <w:bookmarkStart w:id="21" w:name="_Toc1530"/>
      <w:bookmarkStart w:id="22" w:name="_Toc382049092"/>
      <w:bookmarkStart w:id="23" w:name="_Toc298847174"/>
      <w:r>
        <w:rPr>
          <w:rFonts w:hint="eastAsia" w:ascii="宋体" w:hAnsi="宋体" w:eastAsia="宋体"/>
          <w:color w:val="auto"/>
          <w:sz w:val="21"/>
          <w:szCs w:val="21"/>
          <w:highlight w:val="none"/>
        </w:rPr>
        <w:t>定义</w:t>
      </w:r>
      <w:bookmarkEnd w:id="19"/>
      <w:bookmarkEnd w:id="20"/>
      <w:bookmarkEnd w:id="21"/>
      <w:bookmarkEnd w:id="22"/>
      <w:bookmarkEnd w:id="2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4" w:name="_Toc3780"/>
      <w:r>
        <w:rPr>
          <w:rFonts w:hint="eastAsia" w:ascii="宋体" w:hAnsi="宋体" w:eastAsia="宋体"/>
          <w:color w:val="auto"/>
          <w:sz w:val="21"/>
          <w:szCs w:val="21"/>
          <w:highlight w:val="none"/>
        </w:rPr>
        <w:t>3.货物和服务</w:t>
      </w:r>
      <w:bookmarkEnd w:id="2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5" w:name="_Toc15945"/>
      <w:r>
        <w:rPr>
          <w:rFonts w:hint="eastAsia" w:ascii="宋体" w:hAnsi="宋体" w:eastAsia="宋体"/>
          <w:color w:val="auto"/>
          <w:sz w:val="21"/>
          <w:szCs w:val="21"/>
          <w:highlight w:val="none"/>
        </w:rPr>
        <w:t>4.投标费用</w:t>
      </w:r>
      <w:bookmarkEnd w:id="25"/>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6" w:name="_Toc25040"/>
      <w:r>
        <w:rPr>
          <w:rFonts w:hint="eastAsia" w:ascii="宋体" w:hAnsi="宋体" w:eastAsia="宋体"/>
          <w:color w:val="auto"/>
          <w:sz w:val="21"/>
          <w:szCs w:val="21"/>
          <w:highlight w:val="none"/>
        </w:rPr>
        <w:t>5.知识产权</w:t>
      </w:r>
      <w:bookmarkEnd w:id="26"/>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7" w:name="_Toc21930"/>
      <w:r>
        <w:rPr>
          <w:rFonts w:hint="eastAsia" w:ascii="宋体" w:hAnsi="宋体" w:eastAsia="宋体"/>
          <w:color w:val="auto"/>
          <w:sz w:val="21"/>
          <w:szCs w:val="21"/>
          <w:highlight w:val="none"/>
        </w:rPr>
        <w:t>6.关于联合体投标</w:t>
      </w:r>
      <w:bookmarkEnd w:id="27"/>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8" w:name="_Toc16571"/>
      <w:r>
        <w:rPr>
          <w:rFonts w:hint="eastAsia" w:ascii="宋体" w:hAnsi="宋体" w:eastAsia="宋体"/>
          <w:color w:val="auto"/>
          <w:sz w:val="21"/>
          <w:szCs w:val="21"/>
          <w:highlight w:val="none"/>
        </w:rPr>
        <w:t>7.关于分支机构投标</w:t>
      </w:r>
      <w:bookmarkEnd w:id="28"/>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29" w:name="EB389f116341dd4693875bc7987e7327f3"/>
    </w:p>
    <w:p>
      <w:pPr>
        <w:widowControl w:val="0"/>
        <w:numPr>
          <w:ilvl w:val="1"/>
          <w:numId w:val="2"/>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9"/>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30" w:name="_Toc17879"/>
      <w:r>
        <w:rPr>
          <w:rFonts w:hint="eastAsia" w:ascii="宋体" w:hAnsi="宋体" w:eastAsia="宋体"/>
          <w:color w:val="auto"/>
          <w:highlight w:val="none"/>
        </w:rPr>
        <w:t>招标文件</w:t>
      </w:r>
      <w:bookmarkEnd w:id="30"/>
    </w:p>
    <w:p>
      <w:pPr>
        <w:pStyle w:val="6"/>
        <w:widowControl w:val="0"/>
        <w:overflowPunct w:val="0"/>
        <w:spacing w:before="0" w:after="0" w:line="240" w:lineRule="auto"/>
        <w:rPr>
          <w:rFonts w:ascii="宋体" w:hAnsi="宋体" w:eastAsia="宋体"/>
          <w:color w:val="auto"/>
          <w:sz w:val="21"/>
          <w:szCs w:val="21"/>
          <w:highlight w:val="none"/>
        </w:rPr>
      </w:pPr>
      <w:bookmarkStart w:id="31" w:name="_Toc21771"/>
      <w:r>
        <w:rPr>
          <w:rFonts w:hint="eastAsia" w:ascii="宋体" w:hAnsi="宋体" w:eastAsia="宋体"/>
          <w:color w:val="auto"/>
          <w:sz w:val="21"/>
          <w:szCs w:val="21"/>
          <w:highlight w:val="none"/>
        </w:rPr>
        <w:t>8.招标文件的组成</w:t>
      </w:r>
      <w:bookmarkEnd w:id="31"/>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2" w:name="_Toc14217"/>
      <w:r>
        <w:rPr>
          <w:rFonts w:hint="eastAsia" w:ascii="宋体" w:hAnsi="宋体" w:eastAsia="宋体"/>
          <w:color w:val="auto"/>
          <w:sz w:val="21"/>
          <w:szCs w:val="21"/>
          <w:highlight w:val="none"/>
        </w:rPr>
        <w:t>9.招标文件的澄清或修改</w:t>
      </w:r>
      <w:bookmarkEnd w:id="3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2"/>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1"/>
        </w:numPr>
        <w:spacing w:before="0" w:after="0" w:line="480" w:lineRule="auto"/>
        <w:jc w:val="center"/>
        <w:rPr>
          <w:rFonts w:ascii="宋体" w:hAnsi="宋体" w:eastAsia="宋体"/>
          <w:color w:val="auto"/>
          <w:highlight w:val="none"/>
        </w:rPr>
      </w:pPr>
      <w:bookmarkStart w:id="33" w:name="_Toc23726"/>
      <w:r>
        <w:rPr>
          <w:rFonts w:hint="eastAsia" w:ascii="宋体" w:hAnsi="宋体" w:eastAsia="宋体"/>
          <w:color w:val="auto"/>
          <w:highlight w:val="none"/>
        </w:rPr>
        <w:t>投标文件的编制</w:t>
      </w:r>
      <w:bookmarkEnd w:id="33"/>
    </w:p>
    <w:p>
      <w:pPr>
        <w:pStyle w:val="6"/>
        <w:widowControl w:val="0"/>
        <w:overflowPunct w:val="0"/>
        <w:spacing w:before="0" w:after="0" w:line="240" w:lineRule="auto"/>
        <w:rPr>
          <w:rFonts w:ascii="宋体" w:hAnsi="宋体" w:eastAsia="宋体"/>
          <w:color w:val="auto"/>
          <w:sz w:val="21"/>
          <w:szCs w:val="21"/>
          <w:highlight w:val="none"/>
        </w:rPr>
      </w:pPr>
      <w:bookmarkStart w:id="34" w:name="_Toc20623"/>
      <w:r>
        <w:rPr>
          <w:rFonts w:hint="eastAsia" w:ascii="宋体" w:hAnsi="宋体" w:eastAsia="宋体"/>
          <w:color w:val="auto"/>
          <w:sz w:val="21"/>
          <w:szCs w:val="21"/>
          <w:highlight w:val="none"/>
        </w:rPr>
        <w:t>10.投标文件的语言及度量衡单位</w:t>
      </w:r>
      <w:bookmarkEnd w:id="3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5" w:name="_Toc303084256"/>
      <w:bookmarkStart w:id="36" w:name="_Toc382049103"/>
      <w:bookmarkStart w:id="37" w:name="_Toc28866"/>
      <w:bookmarkStart w:id="38" w:name="_Toc12145"/>
      <w:bookmarkStart w:id="39"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5"/>
      <w:bookmarkEnd w:id="36"/>
      <w:bookmarkEnd w:id="37"/>
      <w:bookmarkEnd w:id="38"/>
      <w:bookmarkEnd w:id="39"/>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0" w:name="_Toc30189"/>
      <w:r>
        <w:rPr>
          <w:rFonts w:hint="eastAsia" w:ascii="宋体" w:hAnsi="宋体" w:eastAsia="宋体"/>
          <w:color w:val="auto"/>
          <w:sz w:val="21"/>
          <w:szCs w:val="21"/>
          <w:highlight w:val="none"/>
        </w:rPr>
        <w:t>12.投标文件编制</w:t>
      </w:r>
      <w:bookmarkEnd w:id="40"/>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1" w:name="_Toc30308425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41"/>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2" w:name="_Toc259"/>
      <w:r>
        <w:rPr>
          <w:rFonts w:hint="eastAsia" w:ascii="宋体" w:hAnsi="宋体" w:eastAsia="宋体"/>
          <w:color w:val="auto"/>
          <w:sz w:val="21"/>
          <w:szCs w:val="21"/>
          <w:highlight w:val="none"/>
        </w:rPr>
        <w:t>13.投标报价说明</w:t>
      </w:r>
      <w:bookmarkEnd w:id="4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3" w:name="_Toc27724"/>
      <w:r>
        <w:rPr>
          <w:rFonts w:hint="eastAsia" w:ascii="宋体" w:hAnsi="宋体" w:eastAsia="宋体"/>
          <w:color w:val="auto"/>
          <w:sz w:val="21"/>
          <w:szCs w:val="21"/>
          <w:highlight w:val="none"/>
        </w:rPr>
        <w:t>14.投标人所提供的服务或货物的证明文件</w:t>
      </w:r>
      <w:bookmarkEnd w:id="4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bookmarkStart w:id="44" w:name="_Hlt107925638"/>
      <w:bookmarkEnd w:id="44"/>
      <w:bookmarkStart w:id="45" w:name="_Hlt107925668"/>
      <w:bookmarkEnd w:id="45"/>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6" w:name="_Toc19520"/>
      <w:r>
        <w:rPr>
          <w:rFonts w:hint="eastAsia" w:ascii="宋体" w:hAnsi="宋体" w:eastAsia="宋体"/>
          <w:color w:val="auto"/>
          <w:sz w:val="21"/>
          <w:szCs w:val="21"/>
          <w:highlight w:val="none"/>
        </w:rPr>
        <w:t>15.★投标有效期</w:t>
      </w:r>
      <w:bookmarkEnd w:id="46"/>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7" w:name="_Toc12456"/>
      <w:r>
        <w:rPr>
          <w:rFonts w:hint="eastAsia" w:ascii="宋体" w:hAnsi="宋体" w:eastAsia="宋体"/>
          <w:color w:val="auto"/>
          <w:sz w:val="21"/>
          <w:szCs w:val="21"/>
          <w:highlight w:val="none"/>
        </w:rPr>
        <w:t>16.★投标保证金</w:t>
      </w:r>
      <w:bookmarkEnd w:id="47"/>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8" w:name="_Ref179619405"/>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49" w:name="_Toc31124"/>
      <w:r>
        <w:rPr>
          <w:rFonts w:hint="eastAsia" w:ascii="宋体" w:hAnsi="宋体" w:eastAsia="宋体"/>
          <w:color w:val="auto"/>
          <w:highlight w:val="none"/>
        </w:rPr>
        <w:t>投标文件的递交</w:t>
      </w:r>
      <w:bookmarkEnd w:id="49"/>
    </w:p>
    <w:p>
      <w:pPr>
        <w:pStyle w:val="6"/>
        <w:widowControl w:val="0"/>
        <w:overflowPunct w:val="0"/>
        <w:spacing w:before="0" w:after="0" w:line="240" w:lineRule="auto"/>
        <w:rPr>
          <w:rFonts w:ascii="宋体" w:hAnsi="宋体" w:eastAsia="宋体"/>
          <w:color w:val="auto"/>
          <w:sz w:val="21"/>
          <w:szCs w:val="21"/>
          <w:highlight w:val="none"/>
        </w:rPr>
      </w:pPr>
      <w:bookmarkStart w:id="50" w:name="_Toc29590"/>
      <w:bookmarkStart w:id="51" w:name="_Toc382049111"/>
      <w:bookmarkStart w:id="52" w:name="_Toc24997"/>
      <w:bookmarkStart w:id="53"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50"/>
      <w:bookmarkEnd w:id="51"/>
      <w:bookmarkEnd w:id="52"/>
      <w:bookmarkEnd w:id="5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4" w:name="_Toc8628"/>
      <w:r>
        <w:rPr>
          <w:rFonts w:hint="eastAsia" w:ascii="宋体" w:hAnsi="宋体" w:eastAsia="宋体"/>
          <w:color w:val="auto"/>
          <w:sz w:val="21"/>
          <w:szCs w:val="21"/>
          <w:highlight w:val="none"/>
        </w:rPr>
        <w:t>18.迟交的投标文件</w:t>
      </w:r>
      <w:bookmarkEnd w:id="5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5" w:name="_Toc13212"/>
      <w:r>
        <w:rPr>
          <w:rFonts w:hint="eastAsia" w:ascii="宋体" w:hAnsi="宋体" w:eastAsia="宋体"/>
          <w:color w:val="auto"/>
          <w:sz w:val="21"/>
          <w:szCs w:val="21"/>
          <w:highlight w:val="none"/>
        </w:rPr>
        <w:t>19.投标样品（如需提交）</w:t>
      </w:r>
      <w:bookmarkEnd w:id="55"/>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6" w:name="_Toc5900"/>
      <w:bookmarkStart w:id="57" w:name="_Toc382049112"/>
      <w:bookmarkStart w:id="58" w:name="_Toc9777"/>
      <w:bookmarkStart w:id="59" w:name="_Toc303084265"/>
      <w:r>
        <w:rPr>
          <w:rFonts w:hint="eastAsia" w:ascii="宋体" w:hAnsi="宋体" w:eastAsia="宋体"/>
          <w:color w:val="auto"/>
          <w:sz w:val="21"/>
          <w:szCs w:val="21"/>
          <w:highlight w:val="none"/>
        </w:rPr>
        <w:t>20.投标截止期</w:t>
      </w:r>
      <w:bookmarkEnd w:id="56"/>
      <w:bookmarkEnd w:id="57"/>
      <w:bookmarkEnd w:id="58"/>
      <w:bookmarkEnd w:id="59"/>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6003"/>
      <w:r>
        <w:rPr>
          <w:rFonts w:hint="eastAsia" w:ascii="宋体" w:hAnsi="宋体" w:eastAsia="宋体"/>
          <w:color w:val="auto"/>
          <w:sz w:val="21"/>
          <w:szCs w:val="21"/>
          <w:highlight w:val="none"/>
        </w:rPr>
        <w:t>21.投标文件的补充、修改与撤回</w:t>
      </w:r>
      <w:bookmarkEnd w:id="60"/>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61" w:name="_Toc29574"/>
      <w:r>
        <w:rPr>
          <w:rFonts w:hint="eastAsia" w:ascii="宋体" w:hAnsi="宋体" w:eastAsia="宋体"/>
          <w:color w:val="auto"/>
          <w:highlight w:val="none"/>
        </w:rPr>
        <w:t>开标与评标</w:t>
      </w:r>
      <w:bookmarkEnd w:id="61"/>
    </w:p>
    <w:p>
      <w:pPr>
        <w:pStyle w:val="6"/>
        <w:widowControl w:val="0"/>
        <w:overflowPunct w:val="0"/>
        <w:spacing w:before="0" w:after="0" w:line="240" w:lineRule="auto"/>
        <w:rPr>
          <w:rFonts w:ascii="宋体" w:hAnsi="宋体" w:eastAsia="宋体"/>
          <w:color w:val="auto"/>
          <w:sz w:val="21"/>
          <w:szCs w:val="21"/>
          <w:highlight w:val="none"/>
        </w:rPr>
      </w:pPr>
      <w:bookmarkStart w:id="62" w:name="_Toc28458"/>
      <w:r>
        <w:rPr>
          <w:rFonts w:hint="eastAsia" w:ascii="宋体" w:hAnsi="宋体" w:eastAsia="宋体"/>
          <w:color w:val="auto"/>
          <w:sz w:val="21"/>
          <w:szCs w:val="21"/>
          <w:highlight w:val="none"/>
        </w:rPr>
        <w:t>22.开标</w:t>
      </w:r>
      <w:bookmarkEnd w:id="6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3" w:name="_Toc5524"/>
      <w:r>
        <w:rPr>
          <w:rFonts w:hint="eastAsia" w:ascii="宋体" w:hAnsi="宋体" w:eastAsia="宋体"/>
          <w:color w:val="auto"/>
          <w:sz w:val="21"/>
          <w:szCs w:val="21"/>
          <w:highlight w:val="none"/>
        </w:rPr>
        <w:t>23.评标委员会及评标方法</w:t>
      </w:r>
      <w:bookmarkEnd w:id="6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4" w:name="_Toc15231"/>
      <w:r>
        <w:rPr>
          <w:rFonts w:hint="eastAsia" w:ascii="宋体" w:hAnsi="宋体" w:eastAsia="宋体"/>
          <w:color w:val="auto"/>
          <w:sz w:val="21"/>
          <w:szCs w:val="21"/>
          <w:highlight w:val="none"/>
        </w:rPr>
        <w:t>24.评审原则及评标过程的保密</w:t>
      </w:r>
      <w:bookmarkEnd w:id="6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5" w:name="_Toc3762"/>
      <w:r>
        <w:rPr>
          <w:rFonts w:hint="eastAsia" w:ascii="宋体" w:hAnsi="宋体" w:eastAsia="宋体"/>
          <w:color w:val="auto"/>
          <w:sz w:val="21"/>
          <w:szCs w:val="21"/>
          <w:highlight w:val="none"/>
        </w:rPr>
        <w:t>25.投标文件的初审</w:t>
      </w:r>
      <w:bookmarkEnd w:id="65"/>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6" w:name="_Toc21742"/>
      <w:r>
        <w:rPr>
          <w:rFonts w:hint="eastAsia" w:ascii="宋体" w:hAnsi="宋体" w:eastAsia="宋体"/>
          <w:color w:val="auto"/>
          <w:sz w:val="21"/>
          <w:szCs w:val="21"/>
          <w:highlight w:val="none"/>
        </w:rPr>
        <w:t>26.商务、技术、价格评审（具体评审项目详见投标资料表）</w:t>
      </w:r>
      <w:bookmarkEnd w:id="6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7" w:name="_Toc22192"/>
      <w:r>
        <w:rPr>
          <w:rFonts w:hint="eastAsia" w:ascii="宋体" w:hAnsi="宋体" w:eastAsia="宋体"/>
          <w:color w:val="auto"/>
          <w:sz w:val="21"/>
          <w:szCs w:val="21"/>
          <w:highlight w:val="none"/>
        </w:rPr>
        <w:t>27.优惠政策</w:t>
      </w:r>
      <w:bookmarkEnd w:id="67"/>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8" w:name="_Toc316375620"/>
      <w:bookmarkStart w:id="69" w:name="_Toc382049120"/>
      <w:bookmarkStart w:id="70" w:name="_Toc22591"/>
      <w:bookmarkStart w:id="71"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8"/>
      <w:r>
        <w:rPr>
          <w:rFonts w:hint="eastAsia" w:ascii="宋体" w:hAnsi="宋体" w:eastAsia="宋体"/>
          <w:color w:val="auto"/>
          <w:sz w:val="21"/>
          <w:szCs w:val="21"/>
          <w:highlight w:val="none"/>
        </w:rPr>
        <w:t>事项</w:t>
      </w:r>
      <w:bookmarkEnd w:id="69"/>
      <w:bookmarkEnd w:id="70"/>
      <w:bookmarkEnd w:id="71"/>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72" w:name="_Toc29310"/>
      <w:r>
        <w:rPr>
          <w:rFonts w:hint="eastAsia" w:ascii="宋体" w:hAnsi="宋体" w:eastAsia="宋体"/>
          <w:color w:val="auto"/>
          <w:highlight w:val="none"/>
        </w:rPr>
        <w:t>授予合同</w:t>
      </w:r>
      <w:bookmarkEnd w:id="72"/>
    </w:p>
    <w:p>
      <w:pPr>
        <w:pStyle w:val="6"/>
        <w:widowControl w:val="0"/>
        <w:overflowPunct w:val="0"/>
        <w:spacing w:before="0" w:after="0" w:line="240" w:lineRule="auto"/>
        <w:rPr>
          <w:rFonts w:ascii="宋体" w:hAnsi="宋体" w:eastAsia="宋体"/>
          <w:color w:val="auto"/>
          <w:sz w:val="21"/>
          <w:szCs w:val="21"/>
          <w:highlight w:val="none"/>
        </w:rPr>
      </w:pPr>
      <w:bookmarkStart w:id="73" w:name="_Toc508284011"/>
      <w:bookmarkStart w:id="74"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3"/>
      <w:bookmarkEnd w:id="74"/>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5" w:name="_Toc508284013"/>
      <w:bookmarkStart w:id="76" w:name="_Toc29283"/>
      <w:r>
        <w:rPr>
          <w:rFonts w:hint="eastAsia" w:ascii="宋体" w:hAnsi="宋体" w:eastAsia="宋体"/>
          <w:color w:val="auto"/>
          <w:sz w:val="21"/>
          <w:szCs w:val="21"/>
          <w:highlight w:val="none"/>
        </w:rPr>
        <w:t>30.发布采购结果</w:t>
      </w:r>
      <w:bookmarkEnd w:id="75"/>
      <w:bookmarkEnd w:id="7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2"/>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7" w:name="_Toc22451"/>
      <w:r>
        <w:rPr>
          <w:rFonts w:hint="eastAsia" w:ascii="宋体" w:hAnsi="宋体" w:eastAsia="宋体"/>
          <w:color w:val="auto"/>
          <w:sz w:val="21"/>
          <w:szCs w:val="21"/>
          <w:highlight w:val="none"/>
        </w:rPr>
        <w:t>31.合同的签订与履行</w:t>
      </w:r>
      <w:bookmarkEnd w:id="77"/>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382049124"/>
      <w:bookmarkStart w:id="79" w:name="_Toc303084277"/>
      <w:bookmarkStart w:id="80" w:name="_Toc29009"/>
      <w:bookmarkStart w:id="81" w:name="_Toc274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8"/>
      <w:bookmarkEnd w:id="79"/>
      <w:bookmarkEnd w:id="80"/>
      <w:bookmarkEnd w:id="81"/>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82" w:name="_Toc13694"/>
      <w:r>
        <w:rPr>
          <w:rFonts w:hint="eastAsia" w:ascii="宋体" w:hAnsi="宋体" w:eastAsia="宋体"/>
          <w:color w:val="auto"/>
          <w:highlight w:val="none"/>
        </w:rPr>
        <w:t>询问或质疑</w:t>
      </w:r>
      <w:bookmarkEnd w:id="82"/>
    </w:p>
    <w:p>
      <w:pPr>
        <w:pStyle w:val="6"/>
        <w:widowControl w:val="0"/>
        <w:overflowPunct w:val="0"/>
        <w:spacing w:before="0" w:after="0" w:line="240" w:lineRule="auto"/>
        <w:rPr>
          <w:rFonts w:ascii="宋体" w:hAnsi="宋体" w:eastAsia="宋体"/>
          <w:color w:val="auto"/>
          <w:sz w:val="21"/>
          <w:szCs w:val="21"/>
          <w:highlight w:val="none"/>
        </w:rPr>
      </w:pPr>
      <w:bookmarkStart w:id="83" w:name="_Toc25498"/>
      <w:r>
        <w:rPr>
          <w:rFonts w:hint="eastAsia" w:ascii="宋体" w:hAnsi="宋体" w:eastAsia="宋体"/>
          <w:color w:val="auto"/>
          <w:sz w:val="21"/>
          <w:szCs w:val="21"/>
          <w:highlight w:val="none"/>
        </w:rPr>
        <w:t>33.询问</w:t>
      </w:r>
      <w:bookmarkEnd w:id="83"/>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84" w:name="_Toc8234"/>
      <w:r>
        <w:rPr>
          <w:rFonts w:hint="eastAsia" w:ascii="宋体" w:hAnsi="宋体" w:eastAsia="宋体"/>
          <w:color w:val="auto"/>
          <w:sz w:val="21"/>
          <w:szCs w:val="21"/>
          <w:highlight w:val="none"/>
        </w:rPr>
        <w:t>34.质疑</w:t>
      </w:r>
      <w:bookmarkEnd w:id="84"/>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85" w:name="_Toc24383"/>
      <w:r>
        <w:rPr>
          <w:rFonts w:hint="eastAsia" w:ascii="宋体" w:hAnsi="宋体" w:eastAsia="宋体"/>
          <w:color w:val="auto"/>
          <w:highlight w:val="none"/>
        </w:rPr>
        <w:t>其他</w:t>
      </w:r>
      <w:bookmarkEnd w:id="85"/>
    </w:p>
    <w:p>
      <w:pPr>
        <w:pStyle w:val="6"/>
        <w:widowControl w:val="0"/>
        <w:overflowPunct w:val="0"/>
        <w:spacing w:before="0" w:after="0" w:line="240" w:lineRule="auto"/>
        <w:rPr>
          <w:rFonts w:ascii="宋体" w:hAnsi="宋体" w:eastAsia="宋体"/>
          <w:color w:val="auto"/>
          <w:sz w:val="21"/>
          <w:szCs w:val="21"/>
          <w:highlight w:val="none"/>
        </w:rPr>
      </w:pPr>
      <w:bookmarkStart w:id="86" w:name="_Toc10082"/>
      <w:r>
        <w:rPr>
          <w:rFonts w:hint="eastAsia" w:ascii="宋体" w:hAnsi="宋体" w:eastAsia="宋体"/>
          <w:color w:val="auto"/>
          <w:sz w:val="21"/>
          <w:szCs w:val="21"/>
          <w:highlight w:val="none"/>
        </w:rPr>
        <w:t>35.招标文件的解释权</w:t>
      </w:r>
      <w:bookmarkEnd w:id="8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7" w:name="_Toc21448"/>
      <w:r>
        <w:rPr>
          <w:rFonts w:hint="eastAsia"/>
          <w:color w:val="auto"/>
          <w:sz w:val="28"/>
          <w:szCs w:val="28"/>
          <w:highlight w:val="none"/>
        </w:rPr>
        <w:t>第五部分 合同格式（仅供参考）</w:t>
      </w:r>
      <w:bookmarkEnd w:id="87"/>
      <w:bookmarkStart w:id="88" w:name="_Toc1534"/>
      <w:bookmarkStart w:id="89" w:name="_Toc21155"/>
      <w:bookmarkStart w:id="90" w:name="_Toc13430"/>
    </w:p>
    <w:p>
      <w:pPr>
        <w:pStyle w:val="5"/>
        <w:spacing w:before="0" w:after="0" w:line="240" w:lineRule="auto"/>
        <w:jc w:val="center"/>
        <w:rPr>
          <w:rFonts w:ascii="宋体" w:hAnsi="宋体" w:eastAsia="宋体" w:cs="宋体"/>
          <w:color w:val="auto"/>
          <w:highlight w:val="none"/>
        </w:rPr>
      </w:pPr>
      <w:bookmarkStart w:id="91" w:name="_Toc16730"/>
      <w:r>
        <w:rPr>
          <w:rFonts w:hint="eastAsia" w:ascii="宋体" w:hAnsi="宋体" w:eastAsia="宋体" w:cs="宋体"/>
          <w:color w:val="auto"/>
          <w:highlight w:val="none"/>
        </w:rPr>
        <w:t>合同格式</w:t>
      </w:r>
      <w:bookmarkEnd w:id="88"/>
      <w:bookmarkEnd w:id="89"/>
      <w:bookmarkEnd w:id="90"/>
      <w:bookmarkEnd w:id="91"/>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92"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92"/>
    <w:p>
      <w:pPr>
        <w:spacing w:after="0" w:line="360" w:lineRule="auto"/>
        <w:ind w:firstLine="422" w:firstLineChars="200"/>
        <w:rPr>
          <w:rFonts w:ascii="宋体" w:hAnsi="宋体" w:eastAsia="宋体"/>
          <w:b/>
          <w:color w:val="auto"/>
          <w:sz w:val="21"/>
          <w:szCs w:val="21"/>
          <w:highlight w:val="none"/>
        </w:rPr>
      </w:pPr>
      <w:bookmarkStart w:id="93"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94" w:name="_Toc86481569"/>
      <w:r>
        <w:rPr>
          <w:rFonts w:hint="eastAsia" w:ascii="宋体" w:hAnsi="宋体" w:eastAsia="宋体"/>
          <w:b/>
          <w:color w:val="auto"/>
          <w:sz w:val="21"/>
          <w:szCs w:val="21"/>
          <w:highlight w:val="none"/>
        </w:rPr>
        <w:t>第十二条 合同生效</w:t>
      </w:r>
      <w:bookmarkEnd w:id="9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93"/>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95" w:name="_Toc23749"/>
      <w:r>
        <w:rPr>
          <w:rFonts w:hint="eastAsia"/>
          <w:color w:val="auto"/>
          <w:sz w:val="28"/>
          <w:szCs w:val="28"/>
          <w:highlight w:val="none"/>
        </w:rPr>
        <w:t>第六部分  附件－投标文件格式</w:t>
      </w:r>
      <w:bookmarkEnd w:id="95"/>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6" w:name="_Toc26830"/>
      <w:r>
        <w:rPr>
          <w:rFonts w:hint="eastAsia" w:ascii="宋体" w:hAnsi="宋体" w:eastAsia="宋体"/>
          <w:color w:val="auto"/>
          <w:sz w:val="21"/>
          <w:szCs w:val="21"/>
          <w:highlight w:val="none"/>
        </w:rPr>
        <w:t>附件1.投标文件目录</w:t>
      </w:r>
      <w:bookmarkEnd w:id="9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7" w:name="_Toc18893"/>
      <w:r>
        <w:rPr>
          <w:rFonts w:hint="eastAsia" w:ascii="宋体" w:hAnsi="宋体" w:eastAsia="宋体"/>
          <w:color w:val="auto"/>
          <w:sz w:val="21"/>
          <w:szCs w:val="21"/>
          <w:highlight w:val="none"/>
        </w:rPr>
        <w:t>附件1-1 评分标准索引表</w:t>
      </w:r>
      <w:bookmarkEnd w:id="97"/>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8"/>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8" w:name="_Toc30640"/>
      <w:r>
        <w:rPr>
          <w:rFonts w:hint="eastAsia" w:ascii="宋体" w:hAnsi="宋体" w:eastAsia="宋体"/>
          <w:color w:val="auto"/>
          <w:sz w:val="21"/>
          <w:szCs w:val="21"/>
          <w:highlight w:val="none"/>
        </w:rPr>
        <w:t>附件2.投标书格式</w:t>
      </w:r>
      <w:bookmarkEnd w:id="98"/>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9" w:name="_Toc6866"/>
      <w:r>
        <w:rPr>
          <w:rFonts w:hint="eastAsia" w:ascii="宋体" w:hAnsi="宋体" w:eastAsia="宋体"/>
          <w:color w:val="auto"/>
          <w:sz w:val="21"/>
          <w:szCs w:val="21"/>
          <w:highlight w:val="none"/>
        </w:rPr>
        <w:t>附件3.开标一览表格式</w:t>
      </w:r>
      <w:bookmarkEnd w:id="99"/>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0"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0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1" w:name="_Toc16412"/>
      <w:r>
        <w:rPr>
          <w:rFonts w:hint="eastAsia" w:ascii="宋体" w:hAnsi="宋体" w:eastAsia="宋体"/>
          <w:color w:val="auto"/>
          <w:sz w:val="21"/>
          <w:szCs w:val="21"/>
          <w:highlight w:val="none"/>
        </w:rPr>
        <w:t>附件5. 法定代表人证明书格式</w:t>
      </w:r>
      <w:bookmarkEnd w:id="10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102" w:name="_Toc31205"/>
      <w:r>
        <w:rPr>
          <w:rFonts w:hint="eastAsia" w:ascii="宋体" w:hAnsi="宋体" w:eastAsia="宋体"/>
          <w:color w:val="auto"/>
          <w:sz w:val="21"/>
          <w:szCs w:val="21"/>
          <w:highlight w:val="none"/>
        </w:rPr>
        <w:t>附件6.法定代表人授权书格式</w:t>
      </w:r>
      <w:bookmarkEnd w:id="10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3"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4" w:name="_Toc17164"/>
      <w:r>
        <w:rPr>
          <w:rFonts w:hint="eastAsia" w:ascii="宋体" w:hAnsi="宋体" w:eastAsia="宋体"/>
          <w:color w:val="auto"/>
          <w:sz w:val="21"/>
          <w:szCs w:val="21"/>
          <w:highlight w:val="none"/>
        </w:rPr>
        <w:t>附件7.资格申明</w:t>
      </w:r>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5" w:name="_Toc27839"/>
      <w:r>
        <w:rPr>
          <w:rFonts w:hint="eastAsia" w:ascii="宋体" w:hAnsi="宋体" w:eastAsia="宋体"/>
          <w:color w:val="auto"/>
          <w:sz w:val="21"/>
          <w:szCs w:val="21"/>
          <w:highlight w:val="none"/>
        </w:rPr>
        <w:t>附件8.营业执照</w:t>
      </w:r>
      <w:bookmarkEnd w:id="105"/>
    </w:p>
    <w:p>
      <w:pPr>
        <w:jc w:val="center"/>
        <w:rPr>
          <w:rFonts w:ascii="黑体" w:eastAsia="黑体"/>
          <w:color w:val="auto"/>
          <w:sz w:val="28"/>
          <w:szCs w:val="28"/>
          <w:highlight w:val="none"/>
        </w:rPr>
      </w:pPr>
      <w:bookmarkStart w:id="106" w:name="_Toc5919"/>
      <w:bookmarkStart w:id="107" w:name="_Toc4926"/>
      <w:bookmarkStart w:id="108" w:name="_Toc24210"/>
      <w:bookmarkStart w:id="109" w:name="_Toc17470"/>
      <w:bookmarkStart w:id="110" w:name="_Toc1511"/>
      <w:r>
        <w:rPr>
          <w:rFonts w:hint="eastAsia" w:ascii="黑体" w:eastAsia="黑体"/>
          <w:color w:val="auto"/>
          <w:sz w:val="28"/>
          <w:szCs w:val="28"/>
          <w:highlight w:val="none"/>
        </w:rPr>
        <w:t>营业执照</w:t>
      </w:r>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26141"/>
      <w:r>
        <w:rPr>
          <w:rFonts w:hint="eastAsia" w:ascii="宋体" w:hAnsi="宋体" w:eastAsia="宋体"/>
          <w:color w:val="auto"/>
          <w:sz w:val="21"/>
          <w:szCs w:val="21"/>
          <w:highlight w:val="none"/>
        </w:rPr>
        <w:t>附件9.相关资质证明文件</w:t>
      </w:r>
      <w:bookmarkEnd w:id="111"/>
    </w:p>
    <w:p>
      <w:pPr>
        <w:rPr>
          <w:color w:val="auto"/>
          <w:highlight w:val="none"/>
        </w:rPr>
      </w:pPr>
    </w:p>
    <w:p>
      <w:pPr>
        <w:jc w:val="center"/>
        <w:rPr>
          <w:rFonts w:ascii="黑体" w:eastAsia="黑体"/>
          <w:color w:val="auto"/>
          <w:sz w:val="28"/>
          <w:szCs w:val="28"/>
          <w:highlight w:val="none"/>
        </w:rPr>
      </w:pPr>
      <w:bookmarkStart w:id="112" w:name="_Toc30307"/>
      <w:bookmarkStart w:id="113" w:name="_Toc13458"/>
      <w:bookmarkStart w:id="114" w:name="_Toc16698"/>
      <w:bookmarkStart w:id="115" w:name="_Toc16233"/>
      <w:bookmarkStart w:id="116" w:name="_Toc9592"/>
      <w:r>
        <w:rPr>
          <w:rFonts w:hint="eastAsia" w:ascii="黑体" w:eastAsia="黑体"/>
          <w:color w:val="auto"/>
          <w:sz w:val="28"/>
          <w:szCs w:val="28"/>
          <w:highlight w:val="none"/>
        </w:rPr>
        <w:t>相关资质证明文件</w:t>
      </w:r>
      <w:bookmarkEnd w:id="103"/>
      <w:bookmarkEnd w:id="112"/>
      <w:bookmarkEnd w:id="113"/>
      <w:bookmarkEnd w:id="114"/>
      <w:bookmarkEnd w:id="115"/>
      <w:bookmarkEnd w:id="11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7" w:name="_Toc17618"/>
      <w:r>
        <w:rPr>
          <w:rFonts w:hint="eastAsia" w:ascii="宋体" w:hAnsi="宋体" w:eastAsia="宋体"/>
          <w:color w:val="auto"/>
          <w:sz w:val="21"/>
          <w:szCs w:val="21"/>
          <w:highlight w:val="none"/>
        </w:rPr>
        <w:t>附件10. 商务条款偏离表格式</w:t>
      </w:r>
      <w:bookmarkEnd w:id="1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8" w:name="_Toc32183"/>
      <w:r>
        <w:rPr>
          <w:rFonts w:hint="eastAsia" w:ascii="宋体" w:hAnsi="宋体" w:eastAsia="宋体"/>
          <w:color w:val="auto"/>
          <w:sz w:val="21"/>
          <w:szCs w:val="21"/>
          <w:highlight w:val="none"/>
        </w:rPr>
        <w:t>附件11. 技术规格偏离表格式</w:t>
      </w:r>
      <w:bookmarkEnd w:id="11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9"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20" w:name="_Toc29613"/>
      <w:r>
        <w:rPr>
          <w:rFonts w:hint="eastAsia" w:ascii="宋体" w:hAnsi="宋体" w:eastAsia="宋体"/>
          <w:color w:val="auto"/>
          <w:sz w:val="21"/>
          <w:szCs w:val="21"/>
          <w:highlight w:val="none"/>
        </w:rPr>
        <w:t>附件12.重要技术参数（▲）响应表</w:t>
      </w:r>
      <w:bookmarkEnd w:id="119"/>
      <w:bookmarkEnd w:id="120"/>
    </w:p>
    <w:p>
      <w:pPr>
        <w:jc w:val="center"/>
        <w:rPr>
          <w:rFonts w:ascii="黑体" w:eastAsia="黑体"/>
          <w:color w:val="auto"/>
          <w:sz w:val="28"/>
          <w:szCs w:val="28"/>
          <w:highlight w:val="none"/>
        </w:rPr>
      </w:pPr>
      <w:bookmarkStart w:id="121" w:name="_Toc6080"/>
      <w:bookmarkStart w:id="122" w:name="_Toc4827"/>
      <w:bookmarkStart w:id="123" w:name="_Toc26078"/>
      <w:bookmarkStart w:id="124" w:name="_Toc18668"/>
      <w:bookmarkStart w:id="125" w:name="_Toc4464"/>
      <w:bookmarkStart w:id="126" w:name="_Toc1274"/>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21"/>
      <w:bookmarkEnd w:id="122"/>
      <w:bookmarkEnd w:id="123"/>
      <w:bookmarkEnd w:id="124"/>
      <w:bookmarkEnd w:id="125"/>
      <w:bookmarkEnd w:id="126"/>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7" w:name="_Toc10045"/>
            <w:bookmarkStart w:id="128" w:name="_Toc16872"/>
            <w:bookmarkStart w:id="129" w:name="_Toc12049"/>
            <w:bookmarkStart w:id="130" w:name="_Toc4304"/>
            <w:bookmarkStart w:id="131" w:name="_Toc21739"/>
            <w:bookmarkStart w:id="132" w:name="_Toc15903"/>
            <w:bookmarkStart w:id="133" w:name="_Toc27090"/>
            <w:bookmarkStart w:id="134" w:name="_Toc14815"/>
            <w:bookmarkStart w:id="135" w:name="_Toc2700"/>
            <w:bookmarkStart w:id="136" w:name="_Toc22448"/>
            <w:r>
              <w:rPr>
                <w:rFonts w:hint="eastAsia" w:ascii="宋体" w:hAnsi="宋体" w:eastAsia="宋体" w:cs="Times New Roman"/>
                <w:color w:val="auto"/>
                <w:sz w:val="21"/>
                <w:szCs w:val="21"/>
                <w:highlight w:val="none"/>
              </w:rPr>
              <w:t>技术参数（▲）</w:t>
            </w:r>
            <w:bookmarkEnd w:id="127"/>
            <w:bookmarkEnd w:id="128"/>
            <w:bookmarkEnd w:id="129"/>
            <w:bookmarkEnd w:id="130"/>
            <w:bookmarkEnd w:id="131"/>
            <w:bookmarkEnd w:id="132"/>
            <w:bookmarkEnd w:id="133"/>
            <w:bookmarkEnd w:id="134"/>
            <w:bookmarkEnd w:id="135"/>
            <w:bookmarkEnd w:id="136"/>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7" w:name="_Toc24662"/>
            <w:bookmarkStart w:id="138" w:name="_Toc22917"/>
            <w:bookmarkStart w:id="139" w:name="_Toc8312"/>
            <w:bookmarkStart w:id="140" w:name="_Toc7333"/>
            <w:bookmarkStart w:id="141" w:name="_Toc21809"/>
            <w:bookmarkStart w:id="142" w:name="_Toc22879"/>
            <w:bookmarkStart w:id="143" w:name="_Toc19251"/>
            <w:bookmarkStart w:id="144" w:name="_Toc8490"/>
            <w:bookmarkStart w:id="145" w:name="_Toc32531"/>
            <w:bookmarkStart w:id="146" w:name="_Toc27442"/>
            <w:r>
              <w:rPr>
                <w:rFonts w:hint="eastAsia" w:ascii="宋体" w:hAnsi="宋体" w:eastAsia="宋体" w:cs="Times New Roman"/>
                <w:color w:val="auto"/>
                <w:sz w:val="21"/>
                <w:szCs w:val="21"/>
                <w:highlight w:val="none"/>
              </w:rPr>
              <w:t>是否响应</w:t>
            </w:r>
            <w:bookmarkEnd w:id="137"/>
            <w:bookmarkEnd w:id="138"/>
            <w:bookmarkEnd w:id="139"/>
            <w:bookmarkEnd w:id="140"/>
            <w:bookmarkEnd w:id="141"/>
            <w:bookmarkEnd w:id="142"/>
            <w:bookmarkEnd w:id="143"/>
            <w:bookmarkEnd w:id="144"/>
            <w:bookmarkEnd w:id="145"/>
            <w:bookmarkEnd w:id="146"/>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7" w:name="_Toc1330"/>
            <w:bookmarkStart w:id="148" w:name="_Toc1912"/>
            <w:bookmarkStart w:id="149" w:name="_Toc17296"/>
            <w:bookmarkStart w:id="150" w:name="_Toc3701"/>
            <w:bookmarkStart w:id="151" w:name="_Toc27185"/>
            <w:bookmarkStart w:id="152" w:name="_Toc5992"/>
            <w:bookmarkStart w:id="153" w:name="_Toc20820"/>
            <w:bookmarkStart w:id="154" w:name="_Toc20139"/>
            <w:bookmarkStart w:id="155" w:name="_Toc5563"/>
            <w:bookmarkStart w:id="156" w:name="_Toc17642"/>
            <w:r>
              <w:rPr>
                <w:rFonts w:hint="eastAsia" w:ascii="宋体" w:hAnsi="宋体" w:eastAsia="宋体" w:cs="Times New Roman"/>
                <w:color w:val="auto"/>
                <w:sz w:val="21"/>
                <w:szCs w:val="21"/>
                <w:highlight w:val="none"/>
              </w:rPr>
              <w:t>页码范围</w:t>
            </w:r>
            <w:bookmarkEnd w:id="147"/>
            <w:bookmarkEnd w:id="148"/>
            <w:bookmarkEnd w:id="149"/>
            <w:bookmarkEnd w:id="150"/>
            <w:bookmarkEnd w:id="151"/>
            <w:bookmarkEnd w:id="152"/>
            <w:bookmarkEnd w:id="153"/>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0"/>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7" w:name="_Toc27674"/>
      <w:r>
        <w:rPr>
          <w:rFonts w:hint="eastAsia" w:ascii="宋体" w:hAnsi="宋体" w:eastAsia="宋体"/>
          <w:color w:val="auto"/>
          <w:sz w:val="21"/>
          <w:szCs w:val="21"/>
          <w:highlight w:val="none"/>
        </w:rPr>
        <w:t>附件13.业绩表</w:t>
      </w:r>
      <w:bookmarkEnd w:id="15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8" w:name="_Toc7860"/>
      <w:r>
        <w:rPr>
          <w:rFonts w:hint="eastAsia" w:ascii="宋体" w:hAnsi="宋体" w:eastAsia="宋体"/>
          <w:color w:val="auto"/>
          <w:sz w:val="21"/>
          <w:szCs w:val="21"/>
          <w:highlight w:val="none"/>
        </w:rPr>
        <w:t>附件14. 项目实施方案格式</w:t>
      </w:r>
      <w:bookmarkEnd w:id="15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9" w:name="_Toc8596"/>
      <w:r>
        <w:rPr>
          <w:rFonts w:hint="eastAsia" w:ascii="宋体" w:hAnsi="宋体" w:eastAsia="宋体"/>
          <w:color w:val="auto"/>
          <w:sz w:val="21"/>
          <w:szCs w:val="21"/>
          <w:highlight w:val="none"/>
        </w:rPr>
        <w:t>附件15. 实施本项目的有关人员资料表格式</w:t>
      </w:r>
      <w:bookmarkEnd w:id="15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60" w:name="_Toc21598"/>
      <w:r>
        <w:rPr>
          <w:rFonts w:hint="eastAsia" w:ascii="宋体" w:hAnsi="宋体" w:eastAsia="宋体"/>
          <w:color w:val="auto"/>
          <w:sz w:val="21"/>
          <w:szCs w:val="21"/>
          <w:highlight w:val="none"/>
        </w:rPr>
        <w:t>附件16.投标货物说明一览表格式</w:t>
      </w:r>
      <w:bookmarkEnd w:id="16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61" w:name="_Toc10094"/>
      <w:bookmarkStart w:id="162" w:name="_Toc417907703"/>
      <w:bookmarkStart w:id="163" w:name="_Toc21223"/>
      <w:r>
        <w:rPr>
          <w:rFonts w:hint="eastAsia" w:ascii="宋体" w:hAnsi="宋体" w:eastAsia="宋体"/>
          <w:color w:val="auto"/>
          <w:sz w:val="21"/>
          <w:szCs w:val="21"/>
          <w:highlight w:val="none"/>
        </w:rPr>
        <w:t>附件17.在经营活动中没有重大违法记录的书面声明格式</w:t>
      </w:r>
      <w:bookmarkEnd w:id="16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62"/>
      <w:bookmarkEnd w:id="163"/>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64" w:name="_Toc28081"/>
      <w:r>
        <w:rPr>
          <w:rFonts w:hint="eastAsia" w:ascii="宋体" w:hAnsi="宋体" w:eastAsia="宋体"/>
          <w:color w:val="auto"/>
          <w:sz w:val="21"/>
          <w:szCs w:val="21"/>
          <w:highlight w:val="none"/>
        </w:rPr>
        <w:t>附件19.《残疾人福利性单位声明函》（残疾人福利性单位适用）</w:t>
      </w:r>
      <w:bookmarkEnd w:id="164"/>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5" w:name="_Toc22970"/>
      <w:bookmarkStart w:id="166" w:name="_Toc508958703"/>
      <w:bookmarkStart w:id="167" w:name="_Toc509844825"/>
      <w:bookmarkStart w:id="168" w:name="_Toc510171693"/>
      <w:bookmarkStart w:id="169" w:name="_Toc508960153"/>
      <w:bookmarkStart w:id="170" w:name="_Toc508898066"/>
      <w:bookmarkStart w:id="171" w:name="_Toc509927455"/>
      <w:bookmarkStart w:id="172" w:name="_Toc509479530"/>
      <w:bookmarkStart w:id="173" w:name="_Toc30277"/>
      <w:bookmarkStart w:id="174" w:name="_Toc17761"/>
      <w:bookmarkStart w:id="175" w:name="_Toc20910"/>
      <w:bookmarkStart w:id="176" w:name="_Toc30247"/>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5"/>
      <w:bookmarkEnd w:id="166"/>
      <w:bookmarkEnd w:id="167"/>
      <w:bookmarkEnd w:id="168"/>
      <w:bookmarkEnd w:id="169"/>
      <w:bookmarkEnd w:id="170"/>
      <w:bookmarkEnd w:id="171"/>
      <w:bookmarkEnd w:id="172"/>
      <w:bookmarkEnd w:id="173"/>
      <w:bookmarkEnd w:id="174"/>
      <w:bookmarkEnd w:id="175"/>
      <w:bookmarkEnd w:id="176"/>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7" w:name="_Toc508898067"/>
      <w:bookmarkStart w:id="178" w:name="_Toc508958704"/>
      <w:bookmarkStart w:id="179" w:name="_Toc5447"/>
      <w:bookmarkStart w:id="180" w:name="_Toc31520"/>
      <w:bookmarkStart w:id="181" w:name="_Toc510171694"/>
      <w:bookmarkStart w:id="182" w:name="_Toc28527"/>
      <w:bookmarkStart w:id="183" w:name="_Toc21053"/>
      <w:bookmarkStart w:id="184" w:name="_Toc26216"/>
      <w:bookmarkStart w:id="185" w:name="_Toc508960154"/>
      <w:bookmarkStart w:id="186" w:name="_Toc509844826"/>
      <w:bookmarkStart w:id="187" w:name="_Toc509927456"/>
      <w:bookmarkStart w:id="188" w:name="_Toc509479531"/>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7"/>
      <w:bookmarkEnd w:id="178"/>
      <w:bookmarkEnd w:id="179"/>
      <w:bookmarkEnd w:id="180"/>
      <w:bookmarkEnd w:id="181"/>
      <w:bookmarkEnd w:id="182"/>
      <w:bookmarkEnd w:id="183"/>
      <w:bookmarkEnd w:id="184"/>
      <w:bookmarkEnd w:id="185"/>
      <w:bookmarkEnd w:id="186"/>
      <w:bookmarkEnd w:id="187"/>
      <w:bookmarkEnd w:id="188"/>
    </w:p>
    <w:p>
      <w:pPr>
        <w:spacing w:after="0" w:line="480" w:lineRule="auto"/>
        <w:ind w:firstLine="420" w:firstLineChars="200"/>
        <w:rPr>
          <w:rFonts w:ascii="宋体" w:hAnsi="宋体" w:eastAsia="宋体"/>
          <w:color w:val="auto"/>
          <w:sz w:val="21"/>
          <w:szCs w:val="21"/>
          <w:highlight w:val="none"/>
        </w:rPr>
      </w:pPr>
      <w:bookmarkStart w:id="189" w:name="_Toc508898068"/>
      <w:bookmarkStart w:id="190" w:name="_Toc14653"/>
      <w:bookmarkStart w:id="191" w:name="_Toc28626"/>
      <w:bookmarkStart w:id="192" w:name="_Toc509927457"/>
      <w:bookmarkStart w:id="193" w:name="_Toc509844827"/>
      <w:bookmarkStart w:id="194" w:name="_Toc508958705"/>
      <w:bookmarkStart w:id="195" w:name="_Toc510171695"/>
      <w:bookmarkStart w:id="196" w:name="_Toc508960155"/>
      <w:bookmarkStart w:id="197" w:name="_Toc9148"/>
      <w:bookmarkStart w:id="198" w:name="_Toc509479532"/>
      <w:bookmarkStart w:id="199" w:name="_Toc24848"/>
      <w:bookmarkStart w:id="200" w:name="_Toc28126"/>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9"/>
      <w:bookmarkEnd w:id="190"/>
      <w:bookmarkEnd w:id="191"/>
      <w:bookmarkEnd w:id="192"/>
      <w:bookmarkEnd w:id="193"/>
      <w:bookmarkEnd w:id="194"/>
      <w:bookmarkEnd w:id="195"/>
      <w:bookmarkEnd w:id="196"/>
      <w:bookmarkEnd w:id="197"/>
      <w:bookmarkEnd w:id="198"/>
      <w:bookmarkEnd w:id="199"/>
      <w:bookmarkEnd w:id="200"/>
    </w:p>
    <w:p>
      <w:pPr>
        <w:spacing w:after="0" w:line="480" w:lineRule="auto"/>
        <w:ind w:firstLine="420" w:firstLineChars="200"/>
        <w:rPr>
          <w:rFonts w:ascii="宋体" w:hAnsi="宋体" w:eastAsia="宋体"/>
          <w:color w:val="auto"/>
          <w:sz w:val="21"/>
          <w:szCs w:val="21"/>
          <w:highlight w:val="none"/>
        </w:rPr>
      </w:pPr>
      <w:bookmarkStart w:id="201" w:name="_Toc508898069"/>
      <w:bookmarkStart w:id="202" w:name="_Toc508960156"/>
      <w:bookmarkStart w:id="203" w:name="_Toc28044"/>
      <w:bookmarkStart w:id="204" w:name="_Toc509844828"/>
      <w:bookmarkStart w:id="205" w:name="_Toc7858"/>
      <w:bookmarkStart w:id="206" w:name="_Toc509479533"/>
      <w:bookmarkStart w:id="207" w:name="_Toc510171696"/>
      <w:bookmarkStart w:id="208" w:name="_Toc22981"/>
      <w:bookmarkStart w:id="209" w:name="_Toc9837"/>
      <w:bookmarkStart w:id="210" w:name="_Toc508958706"/>
      <w:bookmarkStart w:id="211" w:name="_Toc509927458"/>
      <w:bookmarkStart w:id="212" w:name="_Toc2868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01"/>
      <w:bookmarkEnd w:id="202"/>
      <w:bookmarkEnd w:id="203"/>
      <w:bookmarkEnd w:id="204"/>
      <w:bookmarkEnd w:id="205"/>
      <w:bookmarkEnd w:id="206"/>
      <w:bookmarkEnd w:id="207"/>
      <w:bookmarkEnd w:id="208"/>
      <w:bookmarkEnd w:id="209"/>
      <w:bookmarkEnd w:id="210"/>
      <w:bookmarkEnd w:id="211"/>
      <w:bookmarkEnd w:id="212"/>
    </w:p>
    <w:p>
      <w:pPr>
        <w:spacing w:after="0" w:line="480" w:lineRule="auto"/>
        <w:ind w:firstLine="420" w:firstLineChars="200"/>
        <w:rPr>
          <w:rFonts w:ascii="宋体" w:hAnsi="宋体" w:eastAsia="宋体"/>
          <w:color w:val="auto"/>
          <w:sz w:val="21"/>
          <w:szCs w:val="21"/>
          <w:highlight w:val="none"/>
        </w:rPr>
      </w:pPr>
      <w:bookmarkStart w:id="213" w:name="_Toc510171697"/>
      <w:bookmarkStart w:id="214" w:name="_Toc509844829"/>
      <w:bookmarkStart w:id="215" w:name="_Toc18843"/>
      <w:bookmarkStart w:id="216" w:name="_Toc508898070"/>
      <w:bookmarkStart w:id="217" w:name="_Toc509479534"/>
      <w:bookmarkStart w:id="218" w:name="_Toc509927459"/>
      <w:bookmarkStart w:id="219" w:name="_Toc508960157"/>
      <w:bookmarkStart w:id="220" w:name="_Toc5289"/>
      <w:bookmarkStart w:id="221"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13"/>
      <w:bookmarkEnd w:id="214"/>
      <w:bookmarkEnd w:id="215"/>
      <w:bookmarkEnd w:id="216"/>
      <w:bookmarkEnd w:id="217"/>
      <w:bookmarkEnd w:id="218"/>
      <w:bookmarkEnd w:id="219"/>
      <w:bookmarkEnd w:id="220"/>
      <w:bookmarkEnd w:id="221"/>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22" w:name="_Toc25634"/>
      <w:r>
        <w:rPr>
          <w:rFonts w:hint="eastAsia" w:ascii="宋体" w:hAnsi="宋体" w:eastAsia="宋体"/>
          <w:color w:val="auto"/>
          <w:sz w:val="21"/>
          <w:szCs w:val="21"/>
          <w:highlight w:val="none"/>
        </w:rPr>
        <w:t>附件20. 投标保证金汇入情况说明格式</w:t>
      </w:r>
      <w:bookmarkEnd w:id="22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23" w:name="_Toc4363"/>
      <w:r>
        <w:rPr>
          <w:rFonts w:hint="eastAsia" w:ascii="宋体" w:hAnsi="宋体" w:eastAsia="宋体"/>
          <w:color w:val="auto"/>
          <w:sz w:val="21"/>
          <w:szCs w:val="21"/>
          <w:highlight w:val="none"/>
        </w:rPr>
        <w:t>附件21.政府采购投标担保函</w:t>
      </w:r>
      <w:bookmarkEnd w:id="22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24" w:name="_Toc27534"/>
      <w:r>
        <w:rPr>
          <w:rStyle w:val="29"/>
          <w:rFonts w:hint="eastAsia" w:ascii="宋体" w:hAnsi="宋体" w:eastAsia="宋体" w:cs="宋体"/>
          <w:color w:val="auto"/>
          <w:sz w:val="21"/>
          <w:szCs w:val="21"/>
          <w:highlight w:val="none"/>
        </w:rPr>
        <w:t>附件22.政府采购履约担保函</w:t>
      </w:r>
      <w:bookmarkEnd w:id="224"/>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25" w:name="_Toc17023"/>
      <w:r>
        <w:rPr>
          <w:rFonts w:hint="eastAsia" w:ascii="宋体" w:hAnsi="宋体" w:eastAsia="宋体" w:cs="宋体"/>
          <w:color w:val="auto"/>
          <w:sz w:val="21"/>
          <w:szCs w:val="21"/>
          <w:highlight w:val="none"/>
        </w:rPr>
        <w:t>附件23.获取招标文件登记表</w:t>
      </w:r>
      <w:bookmarkEnd w:id="225"/>
    </w:p>
    <w:p>
      <w:pPr>
        <w:pStyle w:val="4"/>
        <w:spacing w:before="0" w:after="0" w:line="240" w:lineRule="auto"/>
        <w:jc w:val="center"/>
        <w:rPr>
          <w:rFonts w:ascii="黑体" w:hAnsi="宋体"/>
          <w:color w:val="auto"/>
          <w:sz w:val="44"/>
          <w:szCs w:val="44"/>
          <w:highlight w:val="none"/>
        </w:rPr>
      </w:pPr>
      <w:bookmarkStart w:id="226"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6"/>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7" w:name="_Toc11182"/>
      <w:r>
        <w:rPr>
          <w:rFonts w:hint="eastAsia" w:ascii="宋体" w:hAnsi="宋体" w:eastAsia="宋体" w:cs="宋体"/>
          <w:color w:val="auto"/>
          <w:sz w:val="21"/>
          <w:szCs w:val="21"/>
          <w:highlight w:val="none"/>
        </w:rPr>
        <w:t>附件 24.质疑函范本</w:t>
      </w:r>
      <w:bookmarkEnd w:id="227"/>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6"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lang w:val="en-US"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9"/>
  </w:num>
  <w:num w:numId="4">
    <w:abstractNumId w:val="8"/>
  </w:num>
  <w:num w:numId="5">
    <w:abstractNumId w:val="4"/>
  </w:num>
  <w:num w:numId="6">
    <w:abstractNumId w:val="5"/>
  </w:num>
  <w:num w:numId="7">
    <w:abstractNumId w:val="1"/>
  </w:num>
  <w:num w:numId="8">
    <w:abstractNumId w:val="2"/>
  </w:num>
  <w:num w:numId="9">
    <w:abstractNumId w:val="6"/>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DB01D0"/>
    <w:rsid w:val="04DF1036"/>
    <w:rsid w:val="05A61F75"/>
    <w:rsid w:val="05A97DEC"/>
    <w:rsid w:val="05C81981"/>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824130"/>
    <w:rsid w:val="0AA534D5"/>
    <w:rsid w:val="0AA650EB"/>
    <w:rsid w:val="0AB8066A"/>
    <w:rsid w:val="0AF47339"/>
    <w:rsid w:val="0B22594B"/>
    <w:rsid w:val="0B797387"/>
    <w:rsid w:val="0BB46964"/>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BA61ABD"/>
    <w:rsid w:val="1BD114BA"/>
    <w:rsid w:val="1BFE1D3B"/>
    <w:rsid w:val="1C2775EC"/>
    <w:rsid w:val="1C750ECE"/>
    <w:rsid w:val="1D0836D7"/>
    <w:rsid w:val="1D196139"/>
    <w:rsid w:val="1D315DB3"/>
    <w:rsid w:val="1DB85900"/>
    <w:rsid w:val="1E010AF7"/>
    <w:rsid w:val="1E0178EB"/>
    <w:rsid w:val="1E301173"/>
    <w:rsid w:val="1E38333E"/>
    <w:rsid w:val="1EA40BB4"/>
    <w:rsid w:val="1F43381C"/>
    <w:rsid w:val="1FA4148D"/>
    <w:rsid w:val="1FFB7C9B"/>
    <w:rsid w:val="20121621"/>
    <w:rsid w:val="201A421D"/>
    <w:rsid w:val="204E554F"/>
    <w:rsid w:val="20590035"/>
    <w:rsid w:val="20FC799E"/>
    <w:rsid w:val="21C91295"/>
    <w:rsid w:val="22154DDD"/>
    <w:rsid w:val="22213E42"/>
    <w:rsid w:val="22336873"/>
    <w:rsid w:val="238C2182"/>
    <w:rsid w:val="239015D1"/>
    <w:rsid w:val="23BB4E7D"/>
    <w:rsid w:val="23C172D6"/>
    <w:rsid w:val="23F04F64"/>
    <w:rsid w:val="24814CBE"/>
    <w:rsid w:val="24AC168B"/>
    <w:rsid w:val="258C3BEC"/>
    <w:rsid w:val="260E3862"/>
    <w:rsid w:val="261642E0"/>
    <w:rsid w:val="262569FC"/>
    <w:rsid w:val="26344C98"/>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2FFF52FA"/>
    <w:rsid w:val="30FF27D2"/>
    <w:rsid w:val="31170995"/>
    <w:rsid w:val="31264A30"/>
    <w:rsid w:val="31884E67"/>
    <w:rsid w:val="31A0275E"/>
    <w:rsid w:val="31B7357A"/>
    <w:rsid w:val="31ED6B08"/>
    <w:rsid w:val="320B572B"/>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195751"/>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6B779B"/>
    <w:rsid w:val="467A0297"/>
    <w:rsid w:val="468B7125"/>
    <w:rsid w:val="46B65151"/>
    <w:rsid w:val="46C4691F"/>
    <w:rsid w:val="479D1D34"/>
    <w:rsid w:val="47B609C0"/>
    <w:rsid w:val="47D10BC9"/>
    <w:rsid w:val="482D31EA"/>
    <w:rsid w:val="485970A0"/>
    <w:rsid w:val="48A41906"/>
    <w:rsid w:val="48B65C71"/>
    <w:rsid w:val="48F303D7"/>
    <w:rsid w:val="492837FF"/>
    <w:rsid w:val="492E6A57"/>
    <w:rsid w:val="49790BA0"/>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9014D02"/>
    <w:rsid w:val="597B384D"/>
    <w:rsid w:val="59863A6D"/>
    <w:rsid w:val="59996DA8"/>
    <w:rsid w:val="59C30F1B"/>
    <w:rsid w:val="5A0D5854"/>
    <w:rsid w:val="5A20156F"/>
    <w:rsid w:val="5AC7121C"/>
    <w:rsid w:val="5AD90B8D"/>
    <w:rsid w:val="5AE12927"/>
    <w:rsid w:val="5B2243E9"/>
    <w:rsid w:val="5B4E1A44"/>
    <w:rsid w:val="5B666742"/>
    <w:rsid w:val="5B873201"/>
    <w:rsid w:val="5B89551D"/>
    <w:rsid w:val="5B967767"/>
    <w:rsid w:val="5B9E55DE"/>
    <w:rsid w:val="5BA53CE7"/>
    <w:rsid w:val="5C286807"/>
    <w:rsid w:val="5C446BC8"/>
    <w:rsid w:val="5C4C687B"/>
    <w:rsid w:val="5C7C2768"/>
    <w:rsid w:val="5CB23AE6"/>
    <w:rsid w:val="5CF55792"/>
    <w:rsid w:val="5CFD533A"/>
    <w:rsid w:val="5D893B14"/>
    <w:rsid w:val="5E2B7D62"/>
    <w:rsid w:val="5EA06921"/>
    <w:rsid w:val="5ED5006A"/>
    <w:rsid w:val="5F2E274F"/>
    <w:rsid w:val="5F576E4B"/>
    <w:rsid w:val="5F663A22"/>
    <w:rsid w:val="5F7A2C30"/>
    <w:rsid w:val="5FBE370A"/>
    <w:rsid w:val="60292845"/>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8F519F"/>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360" w:lineRule="auto"/>
      <w:ind w:left="0"/>
    </w:pPr>
    <w:rPr>
      <w:rFonts w:ascii="宋体" w:hAnsi="宋体" w:eastAsia="宋体" w:cs="宋体"/>
      <w:sz w:val="21"/>
      <w:lang w:val="zh-CN" w:bidi="zh-CN"/>
    </w:rPr>
  </w:style>
  <w:style w:type="paragraph" w:styleId="7">
    <w:name w:val="annotation text"/>
    <w:basedOn w:val="1"/>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2"/>
    <w:unhideWhenUsed/>
    <w:qFormat/>
    <w:uiPriority w:val="99"/>
    <w:pPr>
      <w:tabs>
        <w:tab w:val="center" w:pos="4153"/>
        <w:tab w:val="right" w:pos="8306"/>
      </w:tabs>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paragraph" w:styleId="18">
    <w:name w:val="Body Text First Indent"/>
    <w:basedOn w:val="2"/>
    <w:unhideWhenUsed/>
    <w:qFormat/>
    <w:uiPriority w:val="99"/>
    <w:pPr>
      <w:ind w:firstLine="420" w:firstLineChars="10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4"/>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Char"/>
    <w:basedOn w:val="21"/>
    <w:link w:val="6"/>
    <w:qFormat/>
    <w:uiPriority w:val="9"/>
    <w:rPr>
      <w:rFonts w:eastAsia="宋体" w:asciiTheme="majorAscii" w:hAnsiTheme="majorAscii" w:cstheme="majorBidi"/>
      <w:b/>
      <w:bCs/>
      <w:sz w:val="24"/>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next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9"/>
    <w:semiHidden/>
    <w:qFormat/>
    <w:uiPriority w:val="99"/>
    <w:rPr>
      <w:rFonts w:ascii="宋体" w:hAnsi="Courier New" w:eastAsia="宋体" w:cs="Courier New"/>
      <w:sz w:val="21"/>
      <w:szCs w:val="21"/>
    </w:rPr>
  </w:style>
  <w:style w:type="character" w:customStyle="1" w:styleId="41">
    <w:name w:val="页眉 Char"/>
    <w:basedOn w:val="21"/>
    <w:link w:val="12"/>
    <w:qFormat/>
    <w:uiPriority w:val="99"/>
    <w:rPr>
      <w:rFonts w:ascii="Tahoma" w:hAnsi="Tahoma"/>
      <w:sz w:val="18"/>
      <w:szCs w:val="18"/>
    </w:rPr>
  </w:style>
  <w:style w:type="character" w:customStyle="1" w:styleId="42">
    <w:name w:val="页脚 Char"/>
    <w:basedOn w:val="21"/>
    <w:link w:val="11"/>
    <w:qFormat/>
    <w:uiPriority w:val="99"/>
    <w:rPr>
      <w:rFonts w:ascii="Tahoma" w:hAnsi="Tahoma"/>
      <w:sz w:val="18"/>
      <w:szCs w:val="18"/>
    </w:rPr>
  </w:style>
  <w:style w:type="character" w:customStyle="1" w:styleId="43">
    <w:name w:val="批注框文本 Char"/>
    <w:basedOn w:val="21"/>
    <w:link w:val="10"/>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7"/>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68</Pages>
  <Words>5566</Words>
  <Characters>31731</Characters>
  <Lines>264</Lines>
  <Paragraphs>74</Paragraphs>
  <TotalTime>35</TotalTime>
  <ScaleCrop>false</ScaleCrop>
  <LinksUpToDate>false</LinksUpToDate>
  <CharactersWithSpaces>37223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admin</cp:lastModifiedBy>
  <cp:lastPrinted>2021-05-12T08:41:00Z</cp:lastPrinted>
  <dcterms:modified xsi:type="dcterms:W3CDTF">2021-05-17T04:37:34Z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