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微软雅黑" w:hAnsi="微软雅黑" w:eastAsia="微软雅黑" w:cs="微软雅黑"/>
          <w:b w:val="0"/>
          <w:bCs/>
          <w:color w:val="auto"/>
          <w:sz w:val="21"/>
          <w:szCs w:val="21"/>
          <w:highlight w:val="none"/>
          <w:lang w:val="en-US" w:eastAsia="zh-CN"/>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pPr>
        <w:jc w:val="center"/>
        <w:rPr>
          <w:rFonts w:hint="eastAsia" w:ascii="微软雅黑" w:hAnsi="微软雅黑" w:eastAsia="微软雅黑" w:cs="微软雅黑"/>
          <w:b w:val="0"/>
          <w:bCs/>
          <w:color w:val="auto"/>
          <w:sz w:val="4"/>
          <w:szCs w:val="4"/>
          <w:highlight w:val="none"/>
        </w:rPr>
      </w:pPr>
    </w:p>
    <w:p>
      <w:pPr>
        <w:pStyle w:val="2"/>
        <w:rPr>
          <w:rFonts w:hint="eastAsia" w:ascii="微软雅黑" w:hAnsi="微软雅黑" w:eastAsia="微软雅黑" w:cs="微软雅黑"/>
          <w:b w:val="0"/>
          <w:bCs/>
          <w:color w:val="auto"/>
          <w:sz w:val="4"/>
          <w:szCs w:val="4"/>
          <w:highlight w:val="none"/>
        </w:rPr>
      </w:pPr>
    </w:p>
    <w:p>
      <w:pPr>
        <w:pStyle w:val="2"/>
        <w:rPr>
          <w:rFonts w:hint="eastAsia" w:ascii="微软雅黑" w:hAnsi="微软雅黑" w:eastAsia="微软雅黑" w:cs="微软雅黑"/>
          <w:b w:val="0"/>
          <w:bCs/>
          <w:color w:val="auto"/>
          <w:sz w:val="4"/>
          <w:szCs w:val="4"/>
          <w:highlight w:val="none"/>
        </w:rPr>
      </w:pPr>
    </w:p>
    <w:p>
      <w:pPr>
        <w:pStyle w:val="2"/>
        <w:rPr>
          <w:rFonts w:hint="eastAsia" w:ascii="微软雅黑" w:hAnsi="微软雅黑" w:eastAsia="微软雅黑" w:cs="微软雅黑"/>
          <w:b w:val="0"/>
          <w:bCs/>
          <w:color w:val="auto"/>
          <w:sz w:val="4"/>
          <w:szCs w:val="4"/>
          <w:highlight w:val="none"/>
        </w:rPr>
      </w:pPr>
    </w:p>
    <w:p>
      <w:pPr>
        <w:pStyle w:val="2"/>
        <w:rPr>
          <w:rFonts w:hint="eastAsia" w:ascii="微软雅黑" w:hAnsi="微软雅黑" w:eastAsia="微软雅黑" w:cs="微软雅黑"/>
          <w:b w:val="0"/>
          <w:bCs/>
          <w:color w:val="auto"/>
          <w:sz w:val="4"/>
          <w:szCs w:val="4"/>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Times New Roman" w:hAnsi="Times New Roman"/>
          <w:b w:val="0"/>
          <w:bCs/>
          <w:color w:val="auto"/>
          <w:spacing w:val="57"/>
          <w:sz w:val="72"/>
          <w:szCs w:val="72"/>
          <w:highlight w:val="none"/>
        </w:rPr>
      </w:pPr>
      <w:r>
        <w:rPr>
          <w:rFonts w:hint="eastAsia" w:ascii="Times New Roman" w:hAnsi="Times New Roman"/>
          <w:b w:val="0"/>
          <w:bCs/>
          <w:color w:val="auto"/>
          <w:spacing w:val="57"/>
          <w:sz w:val="72"/>
          <w:szCs w:val="72"/>
          <w:highlight w:val="none"/>
        </w:rPr>
        <w:t>公开招标文件</w:t>
      </w: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ascii="Times New Roman" w:hAnsi="Times New Roman"/>
          <w:b/>
          <w:color w:val="auto"/>
          <w:spacing w:val="57"/>
          <w:sz w:val="72"/>
          <w:szCs w:val="72"/>
          <w:highlight w:val="none"/>
        </w:rPr>
      </w:pPr>
      <w:r>
        <w:rPr>
          <w:rFonts w:hint="eastAsia" w:ascii="Times New Roman" w:hAnsi="Times New Roman"/>
          <w:b w:val="0"/>
          <w:bCs/>
          <w:color w:val="auto"/>
          <w:spacing w:val="57"/>
          <w:sz w:val="72"/>
          <w:szCs w:val="72"/>
          <w:highlight w:val="none"/>
        </w:rPr>
        <w:t>东莞市政府采购</w:t>
      </w:r>
    </w:p>
    <w:p>
      <w:pPr>
        <w:pStyle w:val="2"/>
        <w:ind w:left="0" w:leftChars="0" w:firstLine="0" w:firstLineChars="0"/>
        <w:rPr>
          <w:color w:val="auto"/>
          <w:highlight w:val="none"/>
        </w:rPr>
      </w:pPr>
    </w:p>
    <w:p>
      <w:pPr>
        <w:pStyle w:val="2"/>
        <w:ind w:left="0" w:leftChars="0" w:firstLine="0" w:firstLineChars="0"/>
        <w:rPr>
          <w:color w:val="auto"/>
          <w:highlight w:val="none"/>
        </w:rPr>
      </w:pPr>
    </w:p>
    <w:p>
      <w:pPr>
        <w:pStyle w:val="2"/>
        <w:ind w:left="0" w:leftChars="0" w:firstLine="0" w:firstLineChars="0"/>
        <w:rPr>
          <w:color w:val="auto"/>
          <w:highlight w:val="none"/>
        </w:rPr>
      </w:pPr>
    </w:p>
    <w:p>
      <w:pPr>
        <w:pStyle w:val="2"/>
        <w:ind w:left="0" w:leftChars="0" w:firstLine="0" w:firstLineChars="0"/>
        <w:rPr>
          <w:color w:val="auto"/>
          <w:highlight w:val="none"/>
        </w:rPr>
      </w:pPr>
    </w:p>
    <w:tbl>
      <w:tblPr>
        <w:tblStyle w:val="19"/>
        <w:tblW w:w="0" w:type="auto"/>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6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eastAsia" w:ascii="黑体" w:hAnsi="黑体" w:eastAsia="黑体" w:cs="黑体"/>
                <w:bCs/>
                <w:color w:val="auto"/>
                <w:sz w:val="28"/>
                <w:szCs w:val="22"/>
                <w:highlight w:val="none"/>
                <w:vertAlign w:val="baseline"/>
                <w:lang w:eastAsia="zh-CN"/>
              </w:rPr>
            </w:pPr>
            <w:r>
              <w:rPr>
                <w:rFonts w:hint="eastAsia" w:ascii="黑体" w:hAnsi="黑体" w:eastAsia="黑体" w:cs="黑体"/>
                <w:bCs/>
                <w:color w:val="auto"/>
                <w:sz w:val="28"/>
                <w:szCs w:val="22"/>
                <w:highlight w:val="none"/>
                <w:vertAlign w:val="baseline"/>
                <w:lang w:eastAsia="zh-CN"/>
              </w:rPr>
              <w:t>项目名称：</w:t>
            </w:r>
          </w:p>
        </w:tc>
        <w:tc>
          <w:tcPr>
            <w:tcW w:w="6541"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both"/>
              <w:textAlignment w:val="auto"/>
              <w:rPr>
                <w:rFonts w:hint="eastAsia" w:ascii="黑体" w:hAnsi="黑体" w:eastAsia="黑体" w:cs="黑体"/>
                <w:bCs/>
                <w:color w:val="auto"/>
                <w:sz w:val="28"/>
                <w:szCs w:val="22"/>
                <w:highlight w:val="none"/>
                <w:vertAlign w:val="baseline"/>
              </w:rPr>
            </w:pPr>
            <w:r>
              <w:rPr>
                <w:rFonts w:hint="eastAsia" w:ascii="黑体" w:hAnsi="黑体" w:eastAsia="黑体" w:cs="黑体"/>
                <w:bCs/>
                <w:color w:val="auto"/>
                <w:sz w:val="28"/>
                <w:szCs w:val="22"/>
                <w:highlight w:val="none"/>
                <w:vertAlign w:val="baseline"/>
              </w:rPr>
              <w:t>东莞理工学校2021年校园监控设备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800"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eastAsia" w:ascii="黑体" w:hAnsi="黑体" w:eastAsia="黑体" w:cs="黑体"/>
                <w:bCs/>
                <w:color w:val="auto"/>
                <w:sz w:val="28"/>
                <w:szCs w:val="22"/>
                <w:highlight w:val="none"/>
                <w:vertAlign w:val="baseline"/>
                <w:lang w:eastAsia="zh-CN"/>
              </w:rPr>
            </w:pPr>
            <w:r>
              <w:rPr>
                <w:rFonts w:hint="eastAsia" w:ascii="黑体" w:hAnsi="黑体" w:eastAsia="黑体" w:cs="黑体"/>
                <w:bCs/>
                <w:color w:val="auto"/>
                <w:sz w:val="28"/>
                <w:szCs w:val="22"/>
                <w:highlight w:val="none"/>
                <w:vertAlign w:val="baseline"/>
                <w:lang w:eastAsia="zh-CN"/>
              </w:rPr>
              <w:t>项目编号：</w:t>
            </w:r>
          </w:p>
        </w:tc>
        <w:tc>
          <w:tcPr>
            <w:tcW w:w="6541"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both"/>
              <w:textAlignment w:val="auto"/>
              <w:rPr>
                <w:rFonts w:hint="eastAsia" w:ascii="黑体" w:hAnsi="黑体" w:eastAsia="黑体" w:cs="黑体"/>
                <w:bCs/>
                <w:color w:val="auto"/>
                <w:sz w:val="28"/>
                <w:szCs w:val="22"/>
                <w:highlight w:val="none"/>
                <w:vertAlign w:val="baseline"/>
              </w:rPr>
            </w:pPr>
            <w:r>
              <w:rPr>
                <w:rFonts w:hint="eastAsia" w:ascii="黑体" w:hAnsi="黑体" w:eastAsia="黑体" w:cs="黑体"/>
                <w:bCs/>
                <w:color w:val="auto"/>
                <w:sz w:val="28"/>
                <w:szCs w:val="22"/>
                <w:highlight w:val="none"/>
                <w:vertAlign w:val="baseline"/>
              </w:rPr>
              <w:t>441901-2021-00884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800"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eastAsia" w:ascii="黑体" w:hAnsi="黑体" w:eastAsia="黑体" w:cs="黑体"/>
                <w:bCs/>
                <w:color w:val="auto"/>
                <w:sz w:val="28"/>
                <w:szCs w:val="22"/>
                <w:highlight w:val="none"/>
                <w:vertAlign w:val="baseline"/>
                <w:lang w:eastAsia="zh-CN"/>
              </w:rPr>
            </w:pPr>
            <w:r>
              <w:rPr>
                <w:rFonts w:hint="eastAsia" w:ascii="黑体" w:hAnsi="黑体" w:eastAsia="黑体" w:cs="黑体"/>
                <w:bCs/>
                <w:color w:val="auto"/>
                <w:sz w:val="28"/>
                <w:szCs w:val="22"/>
                <w:highlight w:val="none"/>
                <w:vertAlign w:val="baseline"/>
                <w:lang w:eastAsia="zh-CN"/>
              </w:rPr>
              <w:t>采</w:t>
            </w:r>
            <w:r>
              <w:rPr>
                <w:rFonts w:hint="eastAsia" w:ascii="黑体" w:hAnsi="黑体" w:eastAsia="黑体" w:cs="黑体"/>
                <w:bCs/>
                <w:color w:val="auto"/>
                <w:sz w:val="28"/>
                <w:szCs w:val="22"/>
                <w:highlight w:val="none"/>
                <w:vertAlign w:val="baseline"/>
                <w:lang w:val="en-US" w:eastAsia="zh-CN"/>
              </w:rPr>
              <w:t xml:space="preserve"> </w:t>
            </w:r>
            <w:r>
              <w:rPr>
                <w:rFonts w:hint="eastAsia" w:ascii="黑体" w:hAnsi="黑体" w:eastAsia="黑体" w:cs="黑体"/>
                <w:bCs/>
                <w:color w:val="auto"/>
                <w:sz w:val="28"/>
                <w:szCs w:val="22"/>
                <w:highlight w:val="none"/>
                <w:vertAlign w:val="baseline"/>
                <w:lang w:eastAsia="zh-CN"/>
              </w:rPr>
              <w:t>购</w:t>
            </w:r>
            <w:r>
              <w:rPr>
                <w:rFonts w:hint="eastAsia" w:ascii="黑体" w:hAnsi="黑体" w:eastAsia="黑体" w:cs="黑体"/>
                <w:bCs/>
                <w:color w:val="auto"/>
                <w:sz w:val="28"/>
                <w:szCs w:val="22"/>
                <w:highlight w:val="none"/>
                <w:vertAlign w:val="baseline"/>
                <w:lang w:val="en-US" w:eastAsia="zh-CN"/>
              </w:rPr>
              <w:t xml:space="preserve"> </w:t>
            </w:r>
            <w:r>
              <w:rPr>
                <w:rFonts w:hint="eastAsia" w:ascii="黑体" w:hAnsi="黑体" w:eastAsia="黑体" w:cs="黑体"/>
                <w:bCs/>
                <w:color w:val="auto"/>
                <w:sz w:val="28"/>
                <w:szCs w:val="22"/>
                <w:highlight w:val="none"/>
                <w:vertAlign w:val="baseline"/>
                <w:lang w:eastAsia="zh-CN"/>
              </w:rPr>
              <w:t>人：</w:t>
            </w:r>
          </w:p>
        </w:tc>
        <w:tc>
          <w:tcPr>
            <w:tcW w:w="6541"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both"/>
              <w:textAlignment w:val="auto"/>
              <w:rPr>
                <w:rFonts w:hint="eastAsia" w:ascii="黑体" w:hAnsi="黑体" w:eastAsia="黑体" w:cs="黑体"/>
                <w:bCs/>
                <w:color w:val="auto"/>
                <w:sz w:val="28"/>
                <w:szCs w:val="22"/>
                <w:highlight w:val="none"/>
                <w:vertAlign w:val="baseline"/>
                <w:lang w:val="en-US" w:eastAsia="zh-CN"/>
              </w:rPr>
            </w:pPr>
            <w:r>
              <w:rPr>
                <w:rFonts w:hint="eastAsia" w:ascii="黑体" w:hAnsi="黑体" w:eastAsia="黑体" w:cs="黑体"/>
                <w:bCs/>
                <w:color w:val="auto"/>
                <w:sz w:val="28"/>
                <w:szCs w:val="22"/>
                <w:highlight w:val="none"/>
                <w:vertAlign w:val="baseline"/>
                <w:lang w:val="en-US" w:eastAsia="zh-CN"/>
              </w:rPr>
              <w:t>东莞理工学校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800"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eastAsia" w:ascii="黑体" w:hAnsi="黑体" w:eastAsia="黑体" w:cs="黑体"/>
                <w:bCs/>
                <w:color w:val="auto"/>
                <w:sz w:val="28"/>
                <w:szCs w:val="22"/>
                <w:highlight w:val="none"/>
                <w:vertAlign w:val="baseline"/>
                <w:lang w:eastAsia="zh-CN"/>
              </w:rPr>
            </w:pPr>
            <w:r>
              <w:rPr>
                <w:rFonts w:hint="eastAsia" w:ascii="黑体" w:hAnsi="黑体" w:eastAsia="黑体" w:cs="黑体"/>
                <w:bCs/>
                <w:color w:val="auto"/>
                <w:sz w:val="28"/>
                <w:szCs w:val="22"/>
                <w:highlight w:val="none"/>
                <w:vertAlign w:val="baseline"/>
                <w:lang w:eastAsia="zh-CN"/>
              </w:rPr>
              <w:t>代理机构：</w:t>
            </w:r>
          </w:p>
        </w:tc>
        <w:tc>
          <w:tcPr>
            <w:tcW w:w="6541"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both"/>
              <w:textAlignment w:val="auto"/>
              <w:rPr>
                <w:rFonts w:hint="eastAsia" w:ascii="黑体" w:hAnsi="黑体" w:eastAsia="黑体" w:cs="黑体"/>
                <w:bCs/>
                <w:color w:val="auto"/>
                <w:sz w:val="28"/>
                <w:szCs w:val="22"/>
                <w:highlight w:val="none"/>
                <w:vertAlign w:val="baseline"/>
                <w:lang w:eastAsia="zh-CN"/>
              </w:rPr>
            </w:pPr>
            <w:r>
              <w:rPr>
                <w:rFonts w:hint="eastAsia" w:ascii="黑体" w:hAnsi="黑体" w:eastAsia="黑体" w:cs="黑体"/>
                <w:bCs/>
                <w:color w:val="auto"/>
                <w:sz w:val="28"/>
                <w:szCs w:val="22"/>
                <w:highlight w:val="none"/>
                <w:vertAlign w:val="baseline"/>
                <w:lang w:eastAsia="zh-CN"/>
              </w:rPr>
              <w:t>广东政通招标有限公司</w:t>
            </w:r>
          </w:p>
        </w:tc>
      </w:tr>
    </w:tbl>
    <w:p>
      <w:pPr>
        <w:pStyle w:val="2"/>
        <w:rPr>
          <w:color w:val="auto"/>
          <w:highlight w:val="none"/>
        </w:rPr>
      </w:pPr>
    </w:p>
    <w:p>
      <w:pPr>
        <w:jc w:val="both"/>
        <w:rPr>
          <w:rFonts w:hint="eastAsia" w:ascii="黑体" w:eastAsia="黑体"/>
          <w:color w:val="auto"/>
          <w:szCs w:val="21"/>
          <w:highlight w:val="none"/>
          <w:lang w:eastAsia="zh-CN"/>
        </w:rPr>
      </w:pPr>
    </w:p>
    <w:p>
      <w:pPr>
        <w:jc w:val="center"/>
        <w:rPr>
          <w:rFonts w:hint="eastAsia" w:ascii="黑体" w:eastAsia="黑体"/>
          <w:color w:val="auto"/>
          <w:szCs w:val="21"/>
          <w:highlight w:val="none"/>
          <w:lang w:eastAsia="zh-CN"/>
        </w:rPr>
      </w:pPr>
    </w:p>
    <w:p>
      <w:pPr>
        <w:jc w:val="center"/>
        <w:rPr>
          <w:rFonts w:hint="eastAsia" w:ascii="黑体" w:eastAsia="黑体"/>
          <w:color w:val="auto"/>
          <w:szCs w:val="21"/>
          <w:highlight w:val="none"/>
          <w:lang w:val="en-US" w:eastAsia="zh-CN"/>
        </w:r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r>
        <w:rPr>
          <w:rFonts w:hint="eastAsia" w:ascii="黑体" w:eastAsia="黑体"/>
          <w:color w:val="auto"/>
          <w:szCs w:val="21"/>
          <w:highlight w:val="none"/>
          <w:lang w:val="en-US" w:eastAsia="zh-CN"/>
        </w:rPr>
        <w:t xml:space="preserve"> </w:t>
      </w:r>
    </w:p>
    <w:p>
      <w:pPr>
        <w:jc w:val="center"/>
        <w:rPr>
          <w:color w:val="auto"/>
          <w:sz w:val="21"/>
          <w:szCs w:val="21"/>
          <w:highlight w:val="none"/>
        </w:rPr>
      </w:pPr>
      <w:r>
        <w:rPr>
          <w:rFonts w:hint="eastAsia" w:ascii="华文仿宋" w:hAnsi="华文仿宋" w:eastAsia="华文仿宋" w:cs="华文仿宋"/>
          <w:b/>
          <w:bCs/>
          <w:color w:val="auto"/>
          <w:sz w:val="32"/>
          <w:szCs w:val="32"/>
          <w:highlight w:val="none"/>
        </w:rPr>
        <w:t>二〇</w:t>
      </w:r>
      <w:r>
        <w:rPr>
          <w:rFonts w:hint="eastAsia" w:ascii="华文仿宋" w:hAnsi="华文仿宋" w:eastAsia="华文仿宋" w:cs="华文仿宋"/>
          <w:b/>
          <w:bCs/>
          <w:color w:val="auto"/>
          <w:sz w:val="32"/>
          <w:szCs w:val="32"/>
          <w:highlight w:val="none"/>
          <w:lang w:val="en-US" w:eastAsia="zh-CN"/>
        </w:rPr>
        <w:t>二一</w:t>
      </w:r>
      <w:r>
        <w:rPr>
          <w:rFonts w:hint="eastAsia" w:ascii="华文仿宋" w:hAnsi="华文仿宋" w:eastAsia="华文仿宋" w:cs="华文仿宋"/>
          <w:b/>
          <w:bCs/>
          <w:color w:val="auto"/>
          <w:sz w:val="32"/>
          <w:szCs w:val="32"/>
          <w:highlight w:val="none"/>
        </w:rPr>
        <w:t>年</w:t>
      </w:r>
      <w:r>
        <w:rPr>
          <w:rFonts w:hint="eastAsia" w:ascii="华文仿宋" w:hAnsi="华文仿宋" w:eastAsia="华文仿宋" w:cs="华文仿宋"/>
          <w:b/>
          <w:bCs/>
          <w:color w:val="auto"/>
          <w:sz w:val="32"/>
          <w:szCs w:val="32"/>
          <w:highlight w:val="none"/>
          <w:lang w:eastAsia="zh-CN"/>
        </w:rPr>
        <w:t>三</w:t>
      </w:r>
      <w:r>
        <w:rPr>
          <w:rFonts w:hint="eastAsia" w:ascii="华文仿宋" w:hAnsi="华文仿宋" w:eastAsia="华文仿宋" w:cs="华文仿宋"/>
          <w:b/>
          <w:bCs/>
          <w:color w:val="auto"/>
          <w:sz w:val="32"/>
          <w:szCs w:val="32"/>
          <w:highlight w:val="none"/>
        </w:rPr>
        <w:t>月</w:t>
      </w:r>
    </w:p>
    <w:p>
      <w:pPr>
        <w:pStyle w:val="16"/>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223" w:name="_GoBack"/>
      <w:bookmarkEnd w:id="223"/>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rPr>
        <w:t>东莞理工学校</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rPr>
        <w:t>东莞理工学校2021年校园监控设备</w:t>
      </w:r>
      <w:r>
        <w:rPr>
          <w:rFonts w:hint="eastAsia" w:ascii="宋体" w:hAnsi="宋体" w:eastAsia="宋体"/>
          <w:color w:val="auto"/>
          <w:sz w:val="21"/>
          <w:szCs w:val="21"/>
          <w:highlight w:val="none"/>
        </w:rPr>
        <w:t>（采购项目编号：</w:t>
      </w:r>
      <w:r>
        <w:rPr>
          <w:rFonts w:hint="eastAsia" w:ascii="宋体" w:hAnsi="宋体" w:eastAsia="宋体"/>
          <w:b/>
          <w:color w:val="auto"/>
          <w:sz w:val="21"/>
          <w:szCs w:val="21"/>
          <w:highlight w:val="none"/>
          <w:u w:val="single"/>
        </w:rPr>
        <w:t>441901-2021-00884</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rPr>
        <w:t>东莞理工学校2021年校园监控设备</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rPr>
        <w:t>2,353,852.00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投标人具有公安部门颁发的《安全技术防范系统设计、施工、维修资格证》叁级或以上资质（非广东省企业须提供所在地省（自治区、直辖市）公安厅（局）发放的有效的安全技术防范系统设计、施工、维修资格证书，或者是省级以上安防行业协会颁发的有效的安防工程企业设计施工维护能力证书及广东省公安部门颁发的同等级备案证明）。</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30</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30</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注：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13</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13</w:t>
      </w:r>
      <w:r>
        <w:rPr>
          <w:rFonts w:hint="eastAsia" w:ascii="宋体" w:hAnsi="宋体" w:eastAsia="宋体"/>
          <w:bCs/>
          <w:color w:val="auto"/>
          <w:sz w:val="21"/>
          <w:szCs w:val="21"/>
          <w:highlight w:val="none"/>
        </w:rPr>
        <w:t>日上午9时30分。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eastAsia="zh-CN"/>
        </w:rPr>
        <w:t>龙主任</w:t>
      </w:r>
    </w:p>
    <w:p>
      <w:pPr>
        <w:spacing w:after="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地址：横沥镇职教路2号</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highlight w:val="none"/>
          <w:lang w:val="en-US" w:eastAsia="zh-CN"/>
        </w:rPr>
        <w:t>0769-82920398</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王先生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E－mail：</w:t>
      </w:r>
      <w:r>
        <w:rPr>
          <w:rFonts w:hint="eastAsia" w:ascii="宋体" w:hAnsi="宋体" w:eastAsia="宋体"/>
          <w:color w:val="auto"/>
          <w:sz w:val="21"/>
          <w:szCs w:val="21"/>
          <w:highlight w:val="none"/>
          <w:lang w:val="en-US" w:eastAsia="zh-CN"/>
        </w:rPr>
        <w:t>735880509@qq.com</w:t>
      </w:r>
    </w:p>
    <w:p>
      <w:pPr>
        <w:rPr>
          <w:color w:val="auto"/>
          <w:highlight w:val="none"/>
        </w:rPr>
      </w:pPr>
    </w:p>
    <w:p>
      <w:pPr>
        <w:ind w:right="788" w:rightChars="358"/>
        <w:jc w:val="both"/>
        <w:rPr>
          <w:color w:val="auto"/>
          <w:highlight w:val="none"/>
        </w:rPr>
      </w:pPr>
    </w:p>
    <w:p>
      <w:pPr>
        <w:ind w:right="788"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480" w:leftChars="2850" w:hanging="210" w:hanging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eastAsia="zh-CN"/>
              </w:rPr>
              <w:t>贰万伍仟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25,000.00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号：6232590699050024825</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30"/>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vAlign w:val="center"/>
          </w:tcPr>
          <w:p>
            <w:pPr>
              <w:pStyle w:val="30"/>
              <w:ind w:firstLine="0" w:firstLineChars="0"/>
              <w:jc w:val="center"/>
              <w:rPr>
                <w:rFonts w:ascii="宋体" w:eastAsia="宋体" w:cs="宋体"/>
                <w:color w:val="auto"/>
                <w:sz w:val="21"/>
                <w:szCs w:val="21"/>
                <w:highlight w:val="none"/>
              </w:rPr>
            </w:pPr>
            <w:r>
              <w:rPr>
                <w:rFonts w:hint="eastAsia" w:ascii="宋体" w:eastAsia="宋体"/>
                <w:color w:val="auto"/>
                <w:sz w:val="21"/>
                <w:szCs w:val="21"/>
                <w:highlight w:val="none"/>
              </w:rPr>
              <w:t>体系认证</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ascii="宋体" w:eastAsia="宋体" w:cs="宋体"/>
                <w:color w:val="auto"/>
                <w:sz w:val="21"/>
                <w:szCs w:val="21"/>
                <w:highlight w:val="none"/>
              </w:rPr>
            </w:pPr>
            <w:r>
              <w:rPr>
                <w:rFonts w:hint="eastAsia" w:ascii="宋体" w:eastAsia="宋体"/>
                <w:color w:val="auto"/>
                <w:sz w:val="21"/>
                <w:szCs w:val="21"/>
                <w:highlight w:val="none"/>
              </w:rPr>
              <w:t>6</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投标人具有</w:t>
            </w:r>
            <w:r>
              <w:rPr>
                <w:rFonts w:hint="eastAsia" w:ascii="宋体" w:hAnsi="宋体" w:eastAsia="宋体" w:cs="宋体"/>
                <w:color w:val="auto"/>
                <w:sz w:val="21"/>
                <w:szCs w:val="21"/>
                <w:highlight w:val="none"/>
              </w:rPr>
              <w:t>国家认证认可监督管理部门批准设立的认证机构颁发的信息技术服务管理体系认证证书、</w:t>
            </w:r>
            <w:r>
              <w:rPr>
                <w:rFonts w:hint="eastAsia" w:ascii="宋体" w:hAnsi="宋体" w:eastAsia="宋体" w:cs="宋体"/>
                <w:color w:val="auto"/>
                <w:kern w:val="0"/>
                <w:sz w:val="21"/>
                <w:szCs w:val="21"/>
                <w:highlight w:val="none"/>
              </w:rPr>
              <w:t>环境管理体系认证证书、职业健康安全管理体系认证证书的</w:t>
            </w:r>
            <w:r>
              <w:rPr>
                <w:rFonts w:hint="eastAsia" w:ascii="宋体" w:hAnsi="宋体" w:eastAsia="宋体" w:cs="宋体"/>
                <w:color w:val="auto"/>
                <w:kern w:val="0"/>
                <w:sz w:val="21"/>
                <w:szCs w:val="21"/>
                <w:highlight w:val="none"/>
                <w:lang w:eastAsia="zh-CN"/>
              </w:rPr>
              <w:t>，</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每提供一项的得</w:t>
            </w:r>
            <w:r>
              <w:rPr>
                <w:rFonts w:hint="eastAsia" w:asci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分，最高得6分。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注：提供相关证明材料复印件并加盖投标人公章，否则不得分。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690" w:type="dxa"/>
            <w:tcBorders>
              <w:left w:val="single" w:color="auto" w:sz="4" w:space="0"/>
              <w:right w:val="single" w:color="auto" w:sz="4" w:space="0"/>
            </w:tcBorders>
            <w:vAlign w:val="center"/>
          </w:tcPr>
          <w:p>
            <w:pPr>
              <w:pStyle w:val="30"/>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left w:val="single" w:color="auto" w:sz="4" w:space="0"/>
              <w:right w:val="single" w:color="auto" w:sz="4" w:space="0"/>
            </w:tcBorders>
            <w:vAlign w:val="center"/>
          </w:tcPr>
          <w:p>
            <w:pPr>
              <w:pStyle w:val="30"/>
              <w:ind w:firstLine="0" w:firstLineChars="0"/>
              <w:jc w:val="center"/>
              <w:rPr>
                <w:rFonts w:ascii="宋体" w:eastAsia="宋体" w:cs="宋体"/>
                <w:color w:val="auto"/>
                <w:sz w:val="21"/>
                <w:szCs w:val="21"/>
                <w:highlight w:val="none"/>
              </w:rPr>
            </w:pPr>
            <w:r>
              <w:rPr>
                <w:rFonts w:hint="eastAsia" w:ascii="宋体" w:eastAsia="宋体"/>
                <w:color w:val="auto"/>
                <w:sz w:val="21"/>
                <w:szCs w:val="21"/>
                <w:highlight w:val="none"/>
              </w:rPr>
              <w:t>项目业绩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ascii="宋体" w:eastAsia="宋体" w:cs="宋体"/>
                <w:color w:val="auto"/>
                <w:sz w:val="21"/>
                <w:szCs w:val="21"/>
                <w:highlight w:val="none"/>
              </w:rPr>
            </w:pPr>
            <w:r>
              <w:rPr>
                <w:rFonts w:hint="eastAsia" w:ascii="宋体" w:eastAsia="宋体"/>
                <w:color w:val="auto"/>
                <w:sz w:val="21"/>
                <w:szCs w:val="21"/>
                <w:highlight w:val="none"/>
              </w:rPr>
              <w:t>9</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w:t>
            </w:r>
            <w:r>
              <w:rPr>
                <w:rFonts w:hint="eastAsia" w:ascii="宋体" w:eastAsia="宋体" w:cs="宋体"/>
                <w:color w:val="auto"/>
                <w:sz w:val="21"/>
                <w:szCs w:val="21"/>
                <w:highlight w:val="none"/>
                <w:lang w:eastAsia="zh-CN"/>
              </w:rPr>
              <w:t>视频</w:t>
            </w:r>
            <w:r>
              <w:rPr>
                <w:rFonts w:hint="eastAsia" w:ascii="宋体" w:hAnsi="宋体" w:eastAsia="宋体" w:cs="宋体"/>
                <w:color w:val="auto"/>
                <w:sz w:val="21"/>
                <w:szCs w:val="21"/>
                <w:highlight w:val="none"/>
              </w:rPr>
              <w:t xml:space="preserve">监控类的项目，每提供一个得1.5分，最高得9分。 </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color w:val="auto"/>
                <w:sz w:val="21"/>
                <w:szCs w:val="21"/>
                <w:highlight w:val="none"/>
              </w:rPr>
              <w:t>注：提供合同复印件并加盖投标人公章，否则不得分。合同清单内含监控类产品的予以同等认可。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重要技术参数响应情况</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top"/>
          </w:tcPr>
          <w:p>
            <w:pPr>
              <w:pStyle w:val="30"/>
              <w:spacing w:beforeLines="20" w:afterLines="20" w:line="24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根据各投标人对用户需求技术参数响应情况进行评价，全部满足或优于得</w:t>
            </w:r>
            <w:r>
              <w:rPr>
                <w:rFonts w:hint="eastAsia" w:ascii="宋体" w:eastAsia="宋体" w:cs="宋体"/>
                <w:bCs/>
                <w:color w:val="auto"/>
                <w:sz w:val="21"/>
                <w:szCs w:val="21"/>
                <w:highlight w:val="none"/>
                <w:lang w:val="en-US" w:eastAsia="zh-CN"/>
              </w:rPr>
              <w:t>8</w:t>
            </w:r>
            <w:r>
              <w:rPr>
                <w:rFonts w:hint="eastAsia" w:ascii="宋体" w:eastAsia="宋体" w:cs="宋体"/>
                <w:bCs/>
                <w:color w:val="auto"/>
                <w:sz w:val="21"/>
                <w:szCs w:val="21"/>
                <w:highlight w:val="none"/>
                <w:lang w:val="zh-CN"/>
              </w:rPr>
              <w:t>分，其中带“▲”号技术参数每有一项负偏离或无响应的扣</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分，扣完为止。</w:t>
            </w:r>
          </w:p>
          <w:p>
            <w:pPr>
              <w:pStyle w:val="30"/>
              <w:spacing w:beforeLines="20" w:afterLines="20" w:line="24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①用户需求书要求提供证明资料的，则投标文件中须提供对应产品参数的证明资料。</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eastAsia="宋体" w:cs="宋体"/>
                <w:bCs/>
                <w:color w:val="auto"/>
                <w:sz w:val="21"/>
                <w:szCs w:val="21"/>
                <w:highlight w:val="none"/>
                <w:lang w:val="zh-CN"/>
              </w:rPr>
              <w:t>②用户需求书未要求提供证明资料的，则投标文件中须提供所投产品彩页原件或原厂商的官方技术白皮书或原厂商所作的技术参数说明等详细技术资料。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t>项目总体技术方案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根据投标人提供项目总体技术方案（包括技术方案设计思路、供货方案等）进行综合评审：</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方案科学合理完整，可行性强，可操作性强，得</w:t>
            </w:r>
            <w:r>
              <w:rPr>
                <w:rFonts w:hint="eastAsia" w:asci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方案合理完整，可行性强，可操作性一般，得</w:t>
            </w:r>
            <w:r>
              <w:rPr>
                <w:rFonts w:hint="eastAsia" w:asci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方案基本完整，可行性一般，可操作性一般，得</w:t>
            </w:r>
            <w:r>
              <w:rPr>
                <w:rFonts w:hint="eastAsia" w:asci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方案不完整，可行性差，可操作性差，得1分；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未提供项目总体技术方案，得0分。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t>整体进度计划及工期保证措施</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根据投标人提供的整体进度计划及工期保证措施进行综合评审：</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进度计划及工期保证措施科学完整合理，可行性强，可操作性强，针对性强，得</w:t>
            </w:r>
            <w:r>
              <w:rPr>
                <w:rFonts w:hint="eastAsia" w:asci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进度计划及工期保证措施基本完整合理，可行性强，可操作性一般，针对性一般，得</w:t>
            </w:r>
            <w:r>
              <w:rPr>
                <w:rFonts w:hint="eastAsia" w:asci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进度计划及工期保证措施基本完整，可行性一般，可操作性一般，得</w:t>
            </w:r>
            <w:r>
              <w:rPr>
                <w:rFonts w:hint="eastAsia" w:asci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进度计划及工期保证措施不完整，可行性差，可操作性差，得1分；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未提供进度计划及工期保证措施，得0分。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t>产品使用培训方案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hint="eastAsia" w:ascii="宋体" w:eastAsia="宋体"/>
                <w:color w:val="auto"/>
                <w:sz w:val="21"/>
                <w:szCs w:val="21"/>
                <w:highlight w:val="none"/>
                <w:lang w:eastAsia="zh-CN"/>
              </w:rPr>
            </w:pPr>
            <w:r>
              <w:rPr>
                <w:rFonts w:hint="eastAsia" w:ascii="宋体" w:eastAsia="宋体"/>
                <w:color w:val="auto"/>
                <w:sz w:val="21"/>
                <w:szCs w:val="21"/>
                <w:highlight w:val="none"/>
                <w:lang w:val="en-US" w:eastAsia="zh-CN"/>
              </w:rPr>
              <w:t>9</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根据投标人提供的产品使用培训方案进行综合评审：</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方案科学合理完整，可操作性强，针对性强，得</w:t>
            </w:r>
            <w:r>
              <w:rPr>
                <w:rFonts w:hint="eastAsia" w:asci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方案基本完整合理，可操作性强，针对性一般，得</w:t>
            </w:r>
            <w:r>
              <w:rPr>
                <w:rFonts w:hint="eastAsia" w:asci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方案基本完整，可操作性一般，针对性一般，得</w:t>
            </w:r>
            <w:r>
              <w:rPr>
                <w:rFonts w:hint="eastAsia" w:asci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方案不完整，可操作性差，针对性差，得1分；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未提供产品使用培训方案，得0分。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eastAsia="宋体"/>
                <w:color w:val="auto"/>
                <w:sz w:val="21"/>
                <w:szCs w:val="21"/>
                <w:highlight w:val="none"/>
              </w:rPr>
            </w:pPr>
            <w:r>
              <w:rPr>
                <w:rFonts w:hint="eastAsia" w:ascii="宋体" w:hAnsi="宋体" w:eastAsia="宋体" w:cs="宋体"/>
                <w:color w:val="auto"/>
                <w:sz w:val="21"/>
                <w:szCs w:val="21"/>
                <w:highlight w:val="none"/>
              </w:rPr>
              <w:t>设备配置情况</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eastAsia="宋体"/>
                <w:color w:val="auto"/>
                <w:sz w:val="21"/>
                <w:szCs w:val="21"/>
                <w:highlight w:val="none"/>
                <w:lang w:eastAsia="zh-CN"/>
              </w:rPr>
            </w:pPr>
            <w:r>
              <w:rPr>
                <w:rFonts w:hint="eastAsia" w:ascii="宋体" w:eastAsia="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根据投标人提供的产品</w:t>
            </w:r>
            <w:r>
              <w:rPr>
                <w:rFonts w:hint="eastAsia" w:ascii="宋体" w:eastAsia="宋体" w:cs="宋体"/>
                <w:color w:val="auto"/>
                <w:kern w:val="0"/>
                <w:sz w:val="21"/>
                <w:szCs w:val="21"/>
                <w:highlight w:val="none"/>
                <w:lang w:eastAsia="zh-CN"/>
              </w:rPr>
              <w:t>配置</w:t>
            </w:r>
            <w:r>
              <w:rPr>
                <w:rFonts w:hint="eastAsia" w:ascii="宋体" w:hAnsi="宋体" w:eastAsia="宋体" w:cs="宋体"/>
                <w:color w:val="auto"/>
                <w:kern w:val="0"/>
                <w:sz w:val="21"/>
                <w:szCs w:val="21"/>
                <w:highlight w:val="none"/>
              </w:rPr>
              <w:t>情况进行综合评审：</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所提供产品功能优于用户使用要求，系统、设备操作简便、合理，产品先进性强，科学性强，得</w:t>
            </w:r>
            <w:r>
              <w:rPr>
                <w:rFonts w:hint="eastAsia" w:asci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所提供产品基本满足用户使用要求，系统、设备操作简便、合理，产品先进性一般，科学性一般，得</w:t>
            </w:r>
            <w:r>
              <w:rPr>
                <w:rFonts w:hint="eastAsia" w:asci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所提供产品基本满足用户使用要求，系统、设备操作较为复杂，产品先进性一般，科学性一般，得2分；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所提供产品不能满足用户使用要求，系统、设备操作复杂，产品先进性差，科学性差，得1分；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未提供产品技术响应情况，得0分。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160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0" w:firstLineChars="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t>售后服务方案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jc w:val="center"/>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根据投标人提供售后服务方案进行综合评审：</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方案科学合理完整，可行性强，可操作性强，针对性强，得</w:t>
            </w:r>
            <w:r>
              <w:rPr>
                <w:rFonts w:hint="eastAsia" w:asci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方案合理完整，可行性强，可操作性强，针对性一般，得</w:t>
            </w:r>
            <w:r>
              <w:rPr>
                <w:rFonts w:hint="eastAsia" w:asci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方案合理完整，可行性一般，可操作性一般，针对性一般，得</w:t>
            </w:r>
            <w:r>
              <w:rPr>
                <w:rFonts w:hint="eastAsia" w:asci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方案不完整，可行性差，可操作性差，针对性差，得1分；</w:t>
            </w:r>
          </w:p>
          <w:p>
            <w:pPr>
              <w:pStyle w:val="30"/>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eastAsia="宋体" w:cs="宋体"/>
                <w:color w:val="auto"/>
                <w:sz w:val="21"/>
                <w:szCs w:val="21"/>
                <w:highlight w:val="none"/>
              </w:rPr>
            </w:pPr>
            <w:r>
              <w:rPr>
                <w:rFonts w:hint="eastAsia" w:ascii="宋体" w:hAnsi="宋体" w:eastAsia="宋体"/>
                <w:b/>
                <w:color w:val="auto"/>
                <w:sz w:val="21"/>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30分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5"/>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spacing w:after="0" w:line="360" w:lineRule="auto"/>
        <w:jc w:val="center"/>
        <w:rPr>
          <w:rFonts w:ascii="宋体" w:hAnsi="宋体" w:eastAsia="宋体" w:cs="Times New Roman"/>
          <w:b/>
          <w:bCs/>
          <w:color w:val="auto"/>
          <w:sz w:val="24"/>
          <w:szCs w:val="24"/>
          <w:highlight w:val="none"/>
        </w:rPr>
      </w:pPr>
      <w:bookmarkStart w:id="6" w:name="_Toc13112"/>
      <w:bookmarkStart w:id="7" w:name="_Toc14462"/>
      <w:bookmarkStart w:id="8" w:name="_Toc24679"/>
      <w:bookmarkStart w:id="9" w:name="_Toc31278"/>
      <w:r>
        <w:rPr>
          <w:rFonts w:hint="eastAsia" w:ascii="宋体" w:hAnsi="宋体" w:eastAsia="宋体" w:cs="Times New Roman"/>
          <w:b/>
          <w:bCs/>
          <w:color w:val="auto"/>
          <w:sz w:val="24"/>
          <w:szCs w:val="24"/>
          <w:highlight w:val="none"/>
        </w:rPr>
        <w:t>第一部分：商务需求书</w:t>
      </w:r>
    </w:p>
    <w:p>
      <w:pPr>
        <w:spacing w:after="0" w:line="360" w:lineRule="auto"/>
        <w:rPr>
          <w:color w:val="auto"/>
          <w:sz w:val="24"/>
          <w:szCs w:val="24"/>
          <w:highlight w:val="none"/>
        </w:rPr>
      </w:pPr>
      <w:r>
        <w:rPr>
          <w:rFonts w:hint="eastAsia" w:ascii="宋体" w:hAnsi="宋体" w:eastAsia="宋体" w:cs="Times New Roman"/>
          <w:b/>
          <w:bCs/>
          <w:color w:val="auto"/>
          <w:sz w:val="24"/>
          <w:szCs w:val="24"/>
          <w:highlight w:val="none"/>
        </w:rPr>
        <w:t>一、报价要求</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 xml:space="preserve">1、投标报价应包括招标文件所确定的招标范围内的全部内容及完成招标必须的各种材料费、劳务费、采取措施等所需的全部费用。 </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 xml:space="preserve">2、投标报价采取打包报价的方式。 </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 xml:space="preserve">3、投标报价包括材料、工具、人工、管理费、利润、税金、风险、招标代理费用等一切因素所有应该和可能发生的费用因素。 </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4、投标单位报价应考虑现场环境以及市场变化等暗含的各种因素，报价一旦确定，调查过程中不再另增签订合同以外的任何费用。</w:t>
      </w:r>
    </w:p>
    <w:p>
      <w:pPr>
        <w:spacing w:after="0" w:line="360" w:lineRule="auto"/>
        <w:rPr>
          <w:rFonts w:ascii="宋体" w:hAnsi="宋体" w:eastAsia="宋体" w:cs="Times New Roman"/>
          <w:b/>
          <w:bCs/>
          <w:color w:val="auto"/>
          <w:sz w:val="24"/>
          <w:szCs w:val="24"/>
          <w:highlight w:val="none"/>
        </w:rPr>
      </w:pPr>
    </w:p>
    <w:p>
      <w:pPr>
        <w:spacing w:after="0" w:line="360" w:lineRule="auto"/>
        <w:rPr>
          <w:color w:val="auto"/>
          <w:sz w:val="24"/>
          <w:szCs w:val="24"/>
          <w:highlight w:val="none"/>
        </w:rPr>
      </w:pPr>
      <w:r>
        <w:rPr>
          <w:rFonts w:hint="eastAsia" w:ascii="宋体" w:hAnsi="宋体" w:eastAsia="宋体" w:cs="Times New Roman"/>
          <w:b/>
          <w:bCs/>
          <w:color w:val="auto"/>
          <w:sz w:val="24"/>
          <w:szCs w:val="24"/>
          <w:highlight w:val="none"/>
        </w:rPr>
        <w:t>二、付款方式</w:t>
      </w:r>
    </w:p>
    <w:p>
      <w:pPr>
        <w:pStyle w:val="2"/>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合同签订后，</w:t>
      </w:r>
      <w:r>
        <w:rPr>
          <w:rFonts w:hint="eastAsia" w:cs="宋体"/>
          <w:color w:val="auto"/>
          <w:sz w:val="21"/>
          <w:szCs w:val="21"/>
          <w:highlight w:val="none"/>
          <w:lang w:val="en-US" w:eastAsia="zh-CN" w:bidi="ar-SA"/>
        </w:rPr>
        <w:t>采购人支付中标单位30%预付款，</w:t>
      </w:r>
      <w:r>
        <w:rPr>
          <w:rFonts w:hint="eastAsia" w:ascii="宋体" w:hAnsi="宋体" w:eastAsia="宋体" w:cs="宋体"/>
          <w:color w:val="auto"/>
          <w:sz w:val="21"/>
          <w:szCs w:val="21"/>
          <w:highlight w:val="none"/>
          <w:lang w:val="en-US" w:eastAsia="zh-CN" w:bidi="ar-SA"/>
        </w:rPr>
        <w:t>设备采购与安装项目完工后支付</w:t>
      </w:r>
      <w:r>
        <w:rPr>
          <w:rFonts w:hint="eastAsia" w:cs="宋体"/>
          <w:color w:val="auto"/>
          <w:sz w:val="21"/>
          <w:szCs w:val="21"/>
          <w:highlight w:val="none"/>
          <w:lang w:val="en-US" w:eastAsia="zh-CN" w:bidi="ar-SA"/>
        </w:rPr>
        <w:t>至</w:t>
      </w:r>
      <w:r>
        <w:rPr>
          <w:rFonts w:hint="eastAsia" w:ascii="宋体" w:hAnsi="宋体" w:eastAsia="宋体" w:cs="宋体"/>
          <w:color w:val="auto"/>
          <w:sz w:val="21"/>
          <w:szCs w:val="21"/>
          <w:highlight w:val="none"/>
          <w:lang w:val="en-US" w:eastAsia="zh-CN" w:bidi="ar-SA"/>
        </w:rPr>
        <w:t>合同价的</w:t>
      </w:r>
      <w:r>
        <w:rPr>
          <w:rFonts w:hint="eastAsia" w:cs="宋体"/>
          <w:color w:val="auto"/>
          <w:sz w:val="21"/>
          <w:szCs w:val="21"/>
          <w:highlight w:val="none"/>
          <w:lang w:val="en-US" w:eastAsia="zh-CN" w:bidi="ar-SA"/>
        </w:rPr>
        <w:t>60</w:t>
      </w:r>
      <w:r>
        <w:rPr>
          <w:rFonts w:hint="eastAsia" w:ascii="宋体" w:hAnsi="宋体" w:eastAsia="宋体" w:cs="宋体"/>
          <w:color w:val="auto"/>
          <w:sz w:val="21"/>
          <w:szCs w:val="21"/>
          <w:highlight w:val="none"/>
          <w:lang w:val="en-US" w:eastAsia="zh-CN" w:bidi="ar-SA"/>
        </w:rPr>
        <w:t>%，项目验收并完成结算后，再支付至合同结算价的95%，剩余合同结算价的5</w:t>
      </w:r>
      <w:r>
        <w:rPr>
          <w:rFonts w:hint="eastAsia" w:ascii="宋体" w:hAnsi="宋体" w:eastAsia="宋体" w:cs="宋体"/>
          <w:color w:val="auto"/>
          <w:sz w:val="21"/>
          <w:szCs w:val="21"/>
          <w:highlight w:val="none"/>
          <w:lang w:val="zh-CN" w:eastAsia="zh-CN" w:bidi="ar-SA"/>
        </w:rPr>
        <w:t>%作为质保金，待质保期满后结清。</w:t>
      </w:r>
      <w:r>
        <w:rPr>
          <w:rFonts w:hint="eastAsia" w:ascii="宋体" w:hAnsi="宋体" w:eastAsia="宋体" w:cs="宋体"/>
          <w:color w:val="auto"/>
          <w:sz w:val="21"/>
          <w:szCs w:val="21"/>
          <w:highlight w:val="none"/>
          <w:lang w:val="en-US" w:eastAsia="zh-CN" w:bidi="ar-SA"/>
        </w:rPr>
        <w:t xml:space="preserve">  </w:t>
      </w:r>
    </w:p>
    <w:p>
      <w:pPr>
        <w:pStyle w:val="2"/>
        <w:spacing w:before="0" w:after="0" w:line="360" w:lineRule="auto"/>
        <w:ind w:left="0" w:firstLine="420" w:firstLineChars="200"/>
        <w:rPr>
          <w:color w:val="auto"/>
          <w:sz w:val="21"/>
          <w:szCs w:val="21"/>
          <w:highlight w:val="none"/>
          <w:lang w:bidi="ar-SA"/>
        </w:rPr>
      </w:pPr>
      <w:r>
        <w:rPr>
          <w:rFonts w:hint="eastAsia"/>
          <w:color w:val="auto"/>
          <w:sz w:val="21"/>
          <w:szCs w:val="21"/>
          <w:highlight w:val="none"/>
          <w:lang w:bidi="ar-SA"/>
        </w:rPr>
        <w:t>中标人凭以下有效文件与采购人结算：</w:t>
      </w:r>
    </w:p>
    <w:p>
      <w:pPr>
        <w:pStyle w:val="2"/>
        <w:spacing w:before="0" w:after="0" w:line="360" w:lineRule="auto"/>
        <w:ind w:left="0" w:firstLine="420" w:firstLineChars="200"/>
        <w:rPr>
          <w:color w:val="auto"/>
          <w:sz w:val="21"/>
          <w:szCs w:val="21"/>
          <w:highlight w:val="none"/>
          <w:lang w:bidi="ar-SA"/>
        </w:rPr>
      </w:pPr>
      <w:r>
        <w:rPr>
          <w:rFonts w:hint="eastAsia"/>
          <w:color w:val="auto"/>
          <w:sz w:val="21"/>
          <w:szCs w:val="21"/>
          <w:highlight w:val="none"/>
          <w:lang w:bidi="ar-SA"/>
        </w:rPr>
        <w:t>（1）合同；</w:t>
      </w:r>
    </w:p>
    <w:p>
      <w:pPr>
        <w:pStyle w:val="2"/>
        <w:spacing w:before="0" w:after="0" w:line="360" w:lineRule="auto"/>
        <w:ind w:left="0" w:firstLine="420" w:firstLineChars="200"/>
        <w:rPr>
          <w:color w:val="auto"/>
          <w:sz w:val="21"/>
          <w:szCs w:val="21"/>
          <w:highlight w:val="none"/>
          <w:lang w:bidi="ar-SA"/>
        </w:rPr>
      </w:pPr>
      <w:r>
        <w:rPr>
          <w:rFonts w:hint="eastAsia"/>
          <w:color w:val="auto"/>
          <w:sz w:val="21"/>
          <w:szCs w:val="21"/>
          <w:highlight w:val="none"/>
          <w:lang w:bidi="ar-SA"/>
        </w:rPr>
        <w:t>（2）中标人开具的正式发票；</w:t>
      </w:r>
    </w:p>
    <w:p>
      <w:pPr>
        <w:pStyle w:val="2"/>
        <w:spacing w:before="0" w:after="0" w:line="360" w:lineRule="auto"/>
        <w:ind w:left="0" w:firstLine="420" w:firstLineChars="200"/>
        <w:rPr>
          <w:color w:val="auto"/>
          <w:sz w:val="21"/>
          <w:szCs w:val="21"/>
          <w:highlight w:val="none"/>
          <w:lang w:bidi="ar-SA"/>
        </w:rPr>
      </w:pPr>
      <w:r>
        <w:rPr>
          <w:rFonts w:hint="eastAsia"/>
          <w:color w:val="auto"/>
          <w:sz w:val="21"/>
          <w:szCs w:val="21"/>
          <w:highlight w:val="none"/>
          <w:lang w:bidi="ar-SA"/>
        </w:rPr>
        <w:t>（</w:t>
      </w:r>
      <w:r>
        <w:rPr>
          <w:rFonts w:hint="eastAsia"/>
          <w:color w:val="auto"/>
          <w:sz w:val="21"/>
          <w:szCs w:val="21"/>
          <w:highlight w:val="none"/>
          <w:lang w:val="en-US" w:bidi="ar-SA"/>
        </w:rPr>
        <w:t>3</w:t>
      </w:r>
      <w:r>
        <w:rPr>
          <w:rFonts w:hint="eastAsia"/>
          <w:color w:val="auto"/>
          <w:sz w:val="21"/>
          <w:szCs w:val="21"/>
          <w:highlight w:val="none"/>
          <w:lang w:bidi="ar-SA"/>
        </w:rPr>
        <w:t>）中标通知书。</w:t>
      </w:r>
      <w:r>
        <w:rPr>
          <w:rFonts w:hint="eastAsia"/>
          <w:color w:val="auto"/>
          <w:sz w:val="21"/>
          <w:szCs w:val="21"/>
          <w:highlight w:val="none"/>
          <w:lang w:bidi="ar-SA"/>
        </w:rPr>
        <w:tab/>
      </w:r>
    </w:p>
    <w:p>
      <w:pPr>
        <w:pStyle w:val="2"/>
        <w:spacing w:before="0" w:after="0" w:line="360" w:lineRule="auto"/>
        <w:ind w:left="0" w:firstLine="420" w:firstLineChars="200"/>
        <w:rPr>
          <w:rFonts w:cs="Times New Roman"/>
          <w:b/>
          <w:bCs/>
          <w:color w:val="auto"/>
          <w:szCs w:val="24"/>
          <w:highlight w:val="none"/>
        </w:rPr>
      </w:pPr>
      <w:r>
        <w:rPr>
          <w:rFonts w:hint="eastAsia"/>
          <w:color w:val="auto"/>
          <w:sz w:val="21"/>
          <w:szCs w:val="21"/>
          <w:highlight w:val="none"/>
          <w:lang w:bidi="ar-SA"/>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after="0" w:line="360" w:lineRule="auto"/>
        <w:rPr>
          <w:rFonts w:ascii="宋体" w:hAnsi="宋体" w:eastAsia="宋体" w:cs="Times New Roman"/>
          <w:b/>
          <w:bCs/>
          <w:color w:val="auto"/>
          <w:sz w:val="24"/>
          <w:szCs w:val="24"/>
          <w:highlight w:val="none"/>
        </w:rPr>
      </w:pPr>
    </w:p>
    <w:p>
      <w:pPr>
        <w:spacing w:after="0" w:line="360" w:lineRule="auto"/>
        <w:rPr>
          <w:color w:val="auto"/>
          <w:sz w:val="24"/>
          <w:szCs w:val="24"/>
          <w:highlight w:val="none"/>
        </w:rPr>
      </w:pPr>
      <w:r>
        <w:rPr>
          <w:rFonts w:hint="eastAsia" w:ascii="宋体" w:hAnsi="宋体" w:eastAsia="宋体" w:cs="Times New Roman"/>
          <w:b/>
          <w:bCs/>
          <w:color w:val="auto"/>
          <w:sz w:val="24"/>
          <w:szCs w:val="24"/>
          <w:highlight w:val="none"/>
        </w:rPr>
        <w:t>三、完工期</w:t>
      </w:r>
    </w:p>
    <w:p>
      <w:pPr>
        <w:pStyle w:val="2"/>
        <w:spacing w:before="0" w:after="0" w:line="360" w:lineRule="auto"/>
        <w:ind w:left="0" w:firstLine="420" w:firstLineChars="200"/>
        <w:rPr>
          <w:rFonts w:cs="Times New Roman"/>
          <w:b/>
          <w:bCs/>
          <w:color w:val="auto"/>
          <w:szCs w:val="24"/>
          <w:highlight w:val="none"/>
        </w:rPr>
      </w:pPr>
      <w:r>
        <w:rPr>
          <w:rFonts w:hint="eastAsia"/>
          <w:color w:val="auto"/>
          <w:sz w:val="21"/>
          <w:szCs w:val="21"/>
          <w:highlight w:val="none"/>
          <w:lang w:val="en-US" w:bidi="ar-SA"/>
        </w:rPr>
        <w:t>合同生效后</w:t>
      </w:r>
      <w:r>
        <w:rPr>
          <w:rFonts w:hint="eastAsia"/>
          <w:color w:val="auto"/>
          <w:sz w:val="21"/>
          <w:szCs w:val="21"/>
          <w:highlight w:val="none"/>
          <w:lang w:val="en-US" w:eastAsia="zh-CN" w:bidi="ar-SA"/>
        </w:rPr>
        <w:t>60</w:t>
      </w:r>
      <w:r>
        <w:rPr>
          <w:rFonts w:hint="eastAsia"/>
          <w:color w:val="auto"/>
          <w:sz w:val="21"/>
          <w:szCs w:val="21"/>
          <w:highlight w:val="none"/>
          <w:lang w:val="en-US" w:bidi="ar-SA"/>
        </w:rPr>
        <w:t xml:space="preserve">天内完工（完工是指设备安装、调试、试运行、验收等）。 </w:t>
      </w:r>
    </w:p>
    <w:p>
      <w:pPr>
        <w:spacing w:after="0" w:line="360" w:lineRule="auto"/>
        <w:rPr>
          <w:rFonts w:ascii="宋体" w:hAnsi="宋体" w:eastAsia="宋体" w:cs="Times New Roman"/>
          <w:b/>
          <w:bCs/>
          <w:color w:val="auto"/>
          <w:sz w:val="24"/>
          <w:szCs w:val="24"/>
          <w:highlight w:val="none"/>
        </w:rPr>
      </w:pPr>
    </w:p>
    <w:p>
      <w:pPr>
        <w:spacing w:after="0" w:line="360" w:lineRule="auto"/>
        <w:rPr>
          <w:color w:val="auto"/>
          <w:sz w:val="24"/>
          <w:szCs w:val="24"/>
          <w:highlight w:val="none"/>
        </w:rPr>
      </w:pPr>
      <w:r>
        <w:rPr>
          <w:rFonts w:hint="eastAsia" w:ascii="宋体" w:hAnsi="宋体" w:eastAsia="宋体" w:cs="Times New Roman"/>
          <w:b/>
          <w:bCs/>
          <w:color w:val="auto"/>
          <w:sz w:val="24"/>
          <w:szCs w:val="24"/>
          <w:highlight w:val="none"/>
        </w:rPr>
        <w:t>四、质保期</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质保期：自项目验收合格之日起1年。</w:t>
      </w:r>
    </w:p>
    <w:p>
      <w:pPr>
        <w:spacing w:after="0" w:line="360" w:lineRule="auto"/>
        <w:rPr>
          <w:rFonts w:ascii="宋体" w:hAnsi="宋体" w:eastAsia="宋体" w:cs="Times New Roman"/>
          <w:b/>
          <w:bCs/>
          <w:color w:val="auto"/>
          <w:sz w:val="24"/>
          <w:szCs w:val="24"/>
          <w:highlight w:val="none"/>
        </w:rPr>
      </w:pPr>
      <w:bookmarkStart w:id="10" w:name="_Toc1853"/>
    </w:p>
    <w:p>
      <w:pPr>
        <w:spacing w:after="0"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五、售后服务要求</w:t>
      </w:r>
      <w:bookmarkEnd w:id="10"/>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1、所有设备及产品均需提供1年保修</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2、保修期内，所有硬件设备的维修及软件系统维护均为免费</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3、整体项目提供1年保修，部分设备及软件服务按照厂家保修期条款进行保修</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4、设备故障报修的响应时间：周一至周五8：30～18:00期间为2小时。若电话中无法解决，4小时内到达现场进行维护。</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5、保修期内，所有设备维修服务均为上门服务，由此产生的费用均不再收取。</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 xml:space="preserve">6、需提供系统扩充、升级方面的技术支持服务。 </w:t>
      </w:r>
    </w:p>
    <w:p>
      <w:pPr>
        <w:spacing w:after="0" w:line="360" w:lineRule="auto"/>
        <w:rPr>
          <w:rFonts w:ascii="宋体" w:hAnsi="宋体" w:eastAsia="宋体" w:cs="Times New Roman"/>
          <w:b/>
          <w:bCs/>
          <w:color w:val="auto"/>
          <w:sz w:val="24"/>
          <w:szCs w:val="24"/>
          <w:highlight w:val="none"/>
        </w:rPr>
      </w:pPr>
    </w:p>
    <w:p>
      <w:pPr>
        <w:spacing w:after="0"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六、培训要求</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1、中标供应商需提供培训课程表。培训授课人需是经过厂家认证工程师、技术员等。</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2、中标供应商需为所有被培训人员提供培训用文字资料和讲义等相关用品。所有的资料需是中文书写。</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3、培训内容：需提供相关设备等的安装配置及使用培训，需提供相关软件等的安装使用培训等内容。</w:t>
      </w:r>
    </w:p>
    <w:p>
      <w:pPr>
        <w:pStyle w:val="2"/>
        <w:spacing w:before="0" w:after="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 xml:space="preserve">4、所有培训费用（含培训教材费）及各项支出计入投标总报价。 </w:t>
      </w:r>
    </w:p>
    <w:p>
      <w:pPr>
        <w:spacing w:after="0" w:line="360" w:lineRule="auto"/>
        <w:jc w:val="center"/>
        <w:rPr>
          <w:rFonts w:hint="eastAsia" w:ascii="宋体" w:hAnsi="宋体" w:eastAsia="宋体" w:cs="Times New Roman"/>
          <w:b/>
          <w:bCs/>
          <w:color w:val="auto"/>
          <w:sz w:val="24"/>
          <w:szCs w:val="24"/>
          <w:highlight w:val="none"/>
        </w:rPr>
      </w:pPr>
    </w:p>
    <w:p>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pPr>
        <w:spacing w:after="0" w:line="36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第</w:t>
      </w:r>
      <w:r>
        <w:rPr>
          <w:rFonts w:hint="eastAsia" w:ascii="宋体" w:hAnsi="宋体" w:eastAsia="宋体" w:cs="Times New Roman"/>
          <w:b/>
          <w:bCs/>
          <w:color w:val="auto"/>
          <w:sz w:val="24"/>
          <w:szCs w:val="24"/>
          <w:highlight w:val="none"/>
          <w:lang w:eastAsia="zh-CN"/>
        </w:rPr>
        <w:t>二</w:t>
      </w:r>
      <w:r>
        <w:rPr>
          <w:rFonts w:hint="eastAsia" w:ascii="宋体" w:hAnsi="宋体" w:eastAsia="宋体" w:cs="Times New Roman"/>
          <w:b/>
          <w:bCs/>
          <w:color w:val="auto"/>
          <w:sz w:val="24"/>
          <w:szCs w:val="24"/>
          <w:highlight w:val="none"/>
        </w:rPr>
        <w:t>部分：</w:t>
      </w:r>
      <w:r>
        <w:rPr>
          <w:rFonts w:hint="eastAsia" w:ascii="宋体" w:hAnsi="宋体" w:eastAsia="宋体" w:cs="Times New Roman"/>
          <w:b/>
          <w:bCs/>
          <w:color w:val="auto"/>
          <w:sz w:val="24"/>
          <w:szCs w:val="24"/>
          <w:highlight w:val="none"/>
          <w:lang w:eastAsia="zh-CN"/>
        </w:rPr>
        <w:t>技术</w:t>
      </w:r>
      <w:r>
        <w:rPr>
          <w:rFonts w:hint="eastAsia" w:ascii="宋体" w:hAnsi="宋体" w:eastAsia="宋体" w:cs="Times New Roman"/>
          <w:b/>
          <w:bCs/>
          <w:color w:val="auto"/>
          <w:sz w:val="24"/>
          <w:szCs w:val="24"/>
          <w:highlight w:val="none"/>
        </w:rPr>
        <w:t>需求书</w:t>
      </w:r>
    </w:p>
    <w:p>
      <w:pPr>
        <w:spacing w:after="0" w:line="360" w:lineRule="auto"/>
        <w:rPr>
          <w:color w:val="auto"/>
          <w:highlight w:val="none"/>
        </w:rPr>
      </w:pPr>
      <w:r>
        <w:rPr>
          <w:rFonts w:hint="eastAsia" w:ascii="宋体" w:hAnsi="宋体" w:eastAsia="宋体" w:cs="Times New Roman"/>
          <w:b/>
          <w:bCs/>
          <w:color w:val="auto"/>
          <w:sz w:val="24"/>
          <w:szCs w:val="24"/>
          <w:highlight w:val="none"/>
          <w:lang w:eastAsia="zh-CN"/>
        </w:rPr>
        <w:t>一、设备清单及技术参数表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024"/>
        <w:gridCol w:w="5974"/>
        <w:gridCol w:w="542"/>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5"/>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一、监控中心主设备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olor w:val="auto"/>
                <w:sz w:val="21"/>
                <w:szCs w:val="21"/>
                <w:highlight w:val="none"/>
              </w:rPr>
              <w:t>●</w:t>
            </w:r>
            <w:r>
              <w:rPr>
                <w:rFonts w:hint="eastAsia" w:ascii="宋体" w:hAnsi="宋体" w:eastAsia="宋体" w:cs="宋体"/>
                <w:color w:val="auto"/>
                <w:kern w:val="0"/>
                <w:sz w:val="21"/>
                <w:szCs w:val="21"/>
                <w:highlight w:val="none"/>
              </w:rPr>
              <w:t>存储</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功能指标</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技术规格参数</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性能指标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单设备应配置≥64位多核处理器，≥4GB内存，内存支持扩展到≥32GB，需配置冗余金牌电源，支持双系统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外部接口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单设备应标配≥2个千兆网口，可增扩≥2个万兆口或≥2个光纤接口或增配≥4个HDMI接口或≥2个SAS3.0接口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存储功能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应支持FCSAN、IPSAN、NAS存储功能</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硬盘热插拔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可接入2T/3T/4T/6T/8TSATA磁盘，支持磁盘交错启动和漫游，并支持在线热插拔；</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硬盘接入数与扩展柜级联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可接入硬盘≥48块，支持SATA和SAS混插，并支持≥12级扩展柜级联扩展；</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RAID</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应能提供RAID0、1、3、5、6、10、50，60、JBOD模式，支持全局、局部等多种热备选择，支持坏盘自动重构；</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直存功能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设备可对视音频、图片、智能数据（智能行为分析录像）流进行混合直存，无须存储服务器和图片服务器的参与，平台服务器宕机时，存储业务正常</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视频接入、存储、转发、会发性能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应能接入并存储1880Mbps视频图像，同时转发1880Mbps的视频图像；同时回放512Mbps的视频图像；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图片并发性能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支持不低于600MBps图片并发输入，同时不低于600MBps图片并发输出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RAID自恢复功能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当RAID中某块工作正常的硬盘被误拔出后，60分钟内插回，该硬盘能恢复到原RAID中，系统自动恢复工作，而且会对拔掉的硬盘进行增量数据恢复</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VRAID功能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在RAID内丢失2块（含）以上硬盘但至少有1块正常磁盘时，无需等待丢失盘恢复，保留的硬盘中的数据可正常读出，且新数据可正常写入</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冗余存储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支持接入单前端设备不超出30路码流冗余存储</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分层存储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根据数据对象的重要性（例如：系统信息、配置信息、报警录像、普通录像等）、访问频率等属性按照预先设定的分层存储区域可进行自动分层存储并可实现快速访问</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虚拟化部署</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设备在不增加任何外围服务器硬件的情况下可由存储设备直接进行虚拟化系统部署</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视频预录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设备应能预录报警触发前1-40分钟的视频录像。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分类检索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进行检索、查看、下载图片及进行录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▲断网续存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网络中断后重新恢复，设备可续存断网期间存储在前端设备中的录像文件，并可通过IE浏览器设置自动回传和手动回传。支持256路4M的录像回传。（以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视频流丢失报警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当录像视频流发生丢失5s以上可在日志中记录报警信息。</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▲多设备同步升级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提供多设备同步升级功能，可以通过一键式操作对整个局域网内的所有设备同步升级。（以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▲直写存储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设备可同时支持视频、图片、智能流和文件直写存储。（以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▲多路文件直存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支持多路文件采用非NAS方式直接上传存储，且速度可设置。（以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IP组播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具有ONVIF、PSIA、TCP/IP、UDP、SIP、RTSP、RTP、RTCP、iSCSI、CIFS(SMB)、NFS、FTP、HTTP、AFP、RSYNC、SNMP、IPV4、IPV6设置选项，支持IP组播</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▲短信报警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过客户端软件添加及删除手机号，启用短信网关报警功能后，可向添加的手机号码发送电源异常、系统卡容量不足、存储空间异常、自动修复失败、私有卷IO异常、无可用逻辑卷等报警信息，报警种类可设。（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▲录像标签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可对指定的录像段或指定事件的1个或多个前端的不同时间段的录像段添加标签，并自动备份到存档卷中，使之不会被覆盖删除。（以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▲事件查询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可根据事件名称查询所有相关联的不同前端或时间的录像段并进行回放和下载。（以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▲磁盘定位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可通过IE浏览器对一台、多台样机或扩展柜中的磁盘进行定位，使对应的磁盘指示灯闪烁，闪烁的时长可设。（以</w:t>
            </w:r>
            <w:r>
              <w:rPr>
                <w:rFonts w:hint="eastAsia" w:ascii="宋体" w:hAnsi="宋体" w:eastAsia="宋体" w:cs="宋体"/>
                <w:color w:val="auto"/>
                <w:kern w:val="0"/>
                <w:sz w:val="21"/>
                <w:szCs w:val="21"/>
                <w:highlight w:val="none"/>
                <w:lang w:eastAsia="zh-CN"/>
              </w:rPr>
              <w:t>第三方</w:t>
            </w:r>
            <w:r>
              <w:rPr>
                <w:rFonts w:hint="eastAsia" w:ascii="宋体" w:hAnsi="宋体" w:eastAsia="宋体" w:cs="宋体"/>
                <w:color w:val="auto"/>
                <w:kern w:val="0"/>
                <w:sz w:val="21"/>
                <w:szCs w:val="21"/>
                <w:highlight w:val="none"/>
              </w:rPr>
              <w:t>检测报告为准）</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教育综合安防管理平台 </w:t>
            </w:r>
          </w:p>
        </w:tc>
        <w:tc>
          <w:tcPr>
            <w:tcW w:w="3506" w:type="pct"/>
            <w:shd w:val="clear" w:color="000000" w:fill="FFFFFF"/>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要求支持对用户、角色、组织、区域、人员、车辆、卡片、设备等基础资源进行管理调配</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要求支持用户通过人证比对方式实现人脸照片自助采集</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要求支持在公网或内网环境下，通过APP方式实现人脸照片采集</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要求支持提供人脸照片质量评分能力</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要求支持区域、人员、组织、车辆通过资源包方式扩展自定义属性</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要求支持用户统一设备管理，并支持第三方设备管理</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要求人员删除后，支持人员恢复</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要求支持人员信息通过多功能采集设备获取，支持人脸照片质量检测</w:t>
            </w:r>
          </w:p>
          <w:p>
            <w:pPr>
              <w:keepNext w:val="0"/>
              <w:keepLines w:val="0"/>
              <w:pageBreakBefore w:val="0"/>
              <w:widowControl/>
              <w:numPr>
                <w:ilvl w:val="0"/>
                <w:numId w:val="2"/>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要求最大支持用户10000个，支持同时在线5000个用户</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left="418" w:leftChars="19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10.要求支持用户权限管理</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left="418" w:leftChars="19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11.要求支持用户多级权限管理</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left="418" w:leftChars="19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12.要求支持用户权限根据组织、资源点进行权限配置</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13.要求支持Windows域用户登录平台</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14.要求支持用户进行启用、禁用</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15.要求支持用户密码有效时间段进行设置管理，支持用户IP绑定，指定IP地址用户才能登陆平台</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16.支持用户MAC绑定，指定MAC地址用户才能登陆平台</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17.要求采用PostgreSQL数据库，支持Windows、Linux操作系统</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18.系统要求根据项目规模和应用场景，采用分布式、负载均衡等技术，支持多级架构来进行系统平台自身规模的扩展，支持流媒体集群等</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19.系统要求支持软授权方式，可以部署在服务器或虚拟机上</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20.系统要求支持BS、CS客户端以及IOS、Android移动端应用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21.系统要求支持校时功能，支持对设备和平台服务校时，保证时间一致</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22.系统要求具有高兼容性，支持ONVIF、国标协议设备接入</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23.要求支持上下级平台级联，如国标协议级联等</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24.要求支持域名访问平台</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25.要求支持多功能采集仪设备接入，支持人脸、指纹、身份证信息采集</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26.要求支持平台事件图片存储到CVR、云存储</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授权</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摄像机接入授权管理</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数据平台管理服务器</w:t>
            </w:r>
          </w:p>
        </w:tc>
        <w:tc>
          <w:tcPr>
            <w:tcW w:w="3506" w:type="pct"/>
            <w:shd w:val="clear" w:color="000000" w:fill="FFFFFF"/>
            <w:noWrap w:val="0"/>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361" w:afterLines="10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CPU：1颗</w:t>
            </w:r>
            <w:r>
              <w:rPr>
                <w:rFonts w:hint="eastAsia" w:ascii="宋体" w:hAnsi="宋体" w:eastAsia="宋体" w:cs="宋体"/>
                <w:color w:val="auto"/>
                <w:kern w:val="0"/>
                <w:sz w:val="21"/>
                <w:szCs w:val="21"/>
                <w:highlight w:val="none"/>
                <w:lang w:eastAsia="zh-CN"/>
              </w:rPr>
              <w:t>服务器</w:t>
            </w:r>
            <w:r>
              <w:rPr>
                <w:rFonts w:hint="eastAsia" w:ascii="宋体" w:hAnsi="宋体" w:eastAsia="宋体" w:cs="宋体"/>
                <w:color w:val="auto"/>
                <w:kern w:val="0"/>
                <w:sz w:val="21"/>
                <w:szCs w:val="21"/>
                <w:highlight w:val="none"/>
              </w:rPr>
              <w:t>处理器，核数≥10核，主频≥2.2GHz</w:t>
            </w:r>
          </w:p>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内存：≥32G*2 DDR4，16根内存插槽，最大支持扩展至2TB内存</w:t>
            </w:r>
          </w:p>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硬盘：≥4块600G 10K 2.5寸 SAS硬盘</w:t>
            </w:r>
          </w:p>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阵列卡：SAS_HBA卡, 支持RAID 0/1/10</w:t>
            </w:r>
          </w:p>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PCIE扩展：最大可支持≥6个PCIE扩展插槽</w:t>
            </w:r>
          </w:p>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网口：≥2个千兆电口</w:t>
            </w:r>
          </w:p>
          <w:p>
            <w:pPr>
              <w:keepNext w:val="0"/>
              <w:keepLines w:val="0"/>
              <w:pageBreakBefore w:val="0"/>
              <w:widowControl/>
              <w:numPr>
                <w:ilvl w:val="0"/>
                <w:numId w:val="3"/>
              </w:numPr>
              <w:kinsoku/>
              <w:wordWrap/>
              <w:overflowPunct/>
              <w:topLinePunct w:val="0"/>
              <w:autoSpaceDE/>
              <w:autoSpaceDN/>
              <w:bidi w:val="0"/>
              <w:adjustRightInd w:val="0"/>
              <w:snapToGrid w:val="0"/>
              <w:spacing w:before="109" w:beforeLines="30" w:after="109" w:afterLines="30" w:line="24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其他接口：≥1个RJ45管理接口，≥后置2个USB 3.0接口，≥前置2个USB2.0接口，≥1个VGA接口</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left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8、电源：标配550W（1+1）高效铂金CRPS冗余电源 </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安装调试费</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5"/>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二、A教学楼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ICR红外阵列筒型网络摄像机;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 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快门 1/3秒至1/100,000秒</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慢快门 支持</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 4mm, 水平视场角79°(6mm,8mm,12mm可选)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镜头接口类型 M12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日夜转换模式 ICR红外滤片式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数字降噪 3D数字降噪</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 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 50Hz: 25fps (2560 × 1440,1920 × 1080 ,1280 × 720)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感兴趣区域 ROI支持三码流分别设置1个固定区域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行为分析 越界侦测,区域入侵侦测,进入/离开区域侦测,徘徊侦测,人员聚集侦测,快速运动侦测,停车侦测,物品遗留/拿取侦测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异常侦测 场景变更侦测，虚焦侦测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识别检测 支持人脸侦测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 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 -30℃~60℃,湿度小于95%(无凝结)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 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 非POE: 4.5W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 5.5W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红外照射距离最远可达30米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 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半球摄像机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ICR日夜型半球型网络摄像机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镜头:4mm, 水平视场角79°(2.8mm,6mm,8mm,12mm可选)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调整角度:水平:0°~360°;垂直:0°~ 75°;旋转:0°~360°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最大图像尺寸:2560 × 1440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功耗:DC12V:5.5W MAX ; PoE:7W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筒机支架或半球支架配套防水盒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定做外墙支架</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五类网线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CAT 5e 无氧铜 305m/箱</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 3*2.5 纯铜 100m/卷</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容量：432Gbps/4.32Tbps包转发率：144/166Mpps参数：48个10/100/1000BASE-T以太网端口，4个万兆是否支持POE：支持上行端口类型：SFP+端口数量：52是否支持电源冗余：不支持1+1电源备份尺寸mm：442x420x43.6机箱高度：1U满配重量：6.95kgPoE能力：支持</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光纤模块（单模）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光模块-SFP+-10G-单模模块(1310nm,10km,LC)</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单模(1310nm,LC)（光纤做冗余）</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钻尾螺丝</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25长钻尾螺丝</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胶布</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3m电工胶布</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20波纹管50米</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五类水晶头</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专业视频线光纤布线人工焊接、摄像机安装调试、安全性能测试</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000" w:type="pct"/>
            <w:gridSpan w:val="5"/>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三、B教学楼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ICR红外阵列筒型网络摄像机;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 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快门 1/3秒至1/100,000秒</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慢快门 支持</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 4mm, 水平视场角79°(6mm,8mm,12mm可选)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镜头接口类型 M12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日夜转换模式 ICR红外滤片式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数字降噪 3D数字降噪</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 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 50Hz: 25fps (2560 × 1440,1920 × 1080 ,1280 × 720)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感兴趣区域 ROI支持三码流分别设置1个固定区域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行为分析 越界侦测,区域入侵侦测,进入/离开区域侦测,徘徊侦测,人员聚集侦测,快速运动侦测,停车侦测,物品遗留/拿取侦测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异常侦测 场景变更侦测，虚焦侦测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识别检测 支持人脸侦测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 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 -30℃~60℃,湿度小于95%(无凝结)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 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 非POE: 4.5W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 5.5W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红外照射距离最远可达30米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 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半球摄像机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ICR日夜型半球型网络摄像机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镜头:4mm, 水平视场角79°(2.8mm,6mm,8mm,12mm可选)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调整角度:水平:0°~360°;垂直:0°~ 75°;旋转:0°~360°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最大图像尺寸:2560 × 1440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功耗:DC12V:5.5W MAX ; PoE:7W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筒机支架或半球支架配套防水盒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定做外墙支架</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五类网线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CAT 5e 无氧铜 305m/箱</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 3*2.5 纯铜 100m/卷</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容量：432Gbps/4.32Tbps包转发率：144/166Mpps参数：48个10/100/1000BASE-T以太网端口，4个万兆是否支持POE：支持上行端口类型：SFP+端口数量：52是否支持电源冗余：不支持1+1电源备份尺寸mm：442x420x43.6机箱高度：1U满配重量：6.95kgPoE能力：支持</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光纤模块（单模）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光模块-SFP+-10G-单模模块(1310nm,10km,LC)</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单模(1310nm,LC)（光纤做冗余）</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钻尾螺丝</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25长钻尾螺丝</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胶布</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3m电工胶布</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20波纹管50米</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五类水晶头</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专业视频线光纤布线人工焊接、摄像机安装调试、安全性能测试</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四、C教学楼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ICR红外阵列筒型网络摄像机;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 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快门 1/3秒至1/100,000秒</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慢快门 支持</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 4mm, 水平视场角79°(6mm,8mm,12mm可选)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镜头接口类型 M12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日夜转换模式 ICR红外滤片式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数字降噪 3D数字降噪</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 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 50Hz: 25fps (2560 × 1440,1920 × 1080 ,1280 × 720)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感兴趣区域 ROI支持三码流分别设置1个固定区域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行为分析 越界侦测,区域入侵侦测,进入/离开区域侦测,徘徊侦测,人员聚集侦测,快速运动侦测,停车侦测,物品遗留/拿取侦测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异常侦测 场景变更侦测，虚焦侦测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识别检测 支持人脸侦测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 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 -30℃~60℃,湿度小于95%(无凝结)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 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 非POE: 4.5W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 5.5W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红外照射距离最远可达30米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 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半球摄像机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ICR日夜型半球型网络摄像机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镜头:4mm, 水平视场角79°(2.8mm,6mm,8mm,12mm可选)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调整角度:水平:0°~360°;垂直:0°~ 75°;旋转:0°~360°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最大图像尺寸:2560 × 1440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功耗:DC12V:5.5W MAX ; PoE:7W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筒机支架或半球支架配套防水盒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定做外墙支架</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五类网线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CAT 5e 无氧铜 305m/箱</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 3*2.5 纯铜 100m/卷</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容量：432Gbps/4.32Tbps包转发率：144/166Mpps参数：48个10/100/1000BASE-T以太网端口，4个万兆是否支持POE：支持上行端口类型：SFP+端口数量：52是否支持电源冗余：不支持1+1电源备份尺寸mm：442x420x43.6机箱高度：1U满配重量：6.95kgPoE能力：支持</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光纤模块（单模）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光模块-SFP+-10G-单模模块(1310nm,10km,LC)</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单模(1310nm,LC)（光纤做冗余）</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钻尾螺丝</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25长钻尾螺丝</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胶布</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3m电工胶布</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20波纹管50米</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五类水晶头</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专业视频线光纤布线人工焊接、摄像机安装调试、安全性能测试</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五、D教学楼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ICR红外阵列筒型网络摄像机;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 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快门 1/3秒至1/100,000秒</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慢快门 支持</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 4mm, 水平视场角79°(6mm,8mm,12mm可选)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镜头接口类型 M12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日夜转换模式 ICR红外滤片式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数字降噪 3D数字降噪</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 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 50Hz: 25fps (2560 × 1440,1920 × 1080 ,1280 × 720)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感兴趣区域 ROI支持三码流分别设置1个固定区域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行为分析 越界侦测,区域入侵侦测,进入/离开区域侦测,徘徊侦测,人员聚集侦测,快速运动侦测,停车侦测,物品遗留/拿取侦测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异常侦测 场景变更侦测，虚焦侦测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识别检测 支持人脸侦测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 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 -30℃~60℃,湿度小于95%(无凝结)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 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 非POE: 4.5W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 5.5W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红外照射距离最远可达30米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 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半球摄像机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ICR日夜型半球型网络摄像机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镜头:4mm, 水平视场角79°(2.8mm,6mm,8mm,12mm可选)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调整角度:水平:0°~360°;垂直:0°~ 75°;旋转:0°~360°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最大图像尺寸:2560 × 1440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功耗:DC12V:5.5W MAX ; PoE:7W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筒机支架或半球支架配套防水盒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定做外墙支架</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五类网线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CAT 5e 无氧铜 305m/箱</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 3*2.5 纯铜 100m/卷</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容量：432Gbps/4.32Tbps包转发率：144/166Mpps参数：48个10/100/1000BASE-T以太网端口，4个万兆是否支持POE：支持上行端口类型：SFP+端口数量：52是否支持电源冗余：不支持1+1电源备份尺寸mm：442x420x43.6机箱高度：1U满配重量：6.95kgPoE能力：支持</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光纤模块（单模）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光模块-SFP+-10G-单模模块(1310nm,10km,LC)</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单模(1310nm,LC)（光纤做冗余）</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钻尾螺丝</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25长钻尾螺丝</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胶布</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3m电工胶布</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20波纹管50米</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五类水晶头</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专业视频线光纤布线人工焊接、摄像机安装调试、安全性能测试</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00" w:type="pct"/>
            <w:gridSpan w:val="5"/>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六、足球场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ICR红外阵列筒型网络摄像机;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 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快门 1/3秒至1/100,000秒</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慢快门 支持</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 4mm, 水平视场角79°(6mm,8mm,12mm可选)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镜头接口类型 M12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日夜转换模式 ICR红外滤片式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数字降噪 3D数字降噪</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 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 50Hz: 25fps (2560 × 1440,1920 × 1080 ,1280 × 720)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感兴趣区域 ROI支持三码流分别设置1个固定区域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行为分析 越界侦测,区域入侵侦测,进入/离开区域侦测,徘徊侦测,人员聚集侦测,快速运动侦测,停车侦测,物品遗留/拿取侦测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异常侦测 场景变更侦测，虚焦侦测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识别检测 支持人脸侦测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 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 -30℃~60℃,湿度小于95%(无凝结)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 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 非POE: 4.5W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 5.5W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红外照射距离最远可达30米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 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智能全局球型摄像机</w:t>
            </w:r>
          </w:p>
        </w:tc>
        <w:tc>
          <w:tcPr>
            <w:tcW w:w="3506"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定点看全景、球机看细节，采用一体化设计，单IP、多路视频输出、单网线、单电源。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支持全景联动功能，通过在客户端点击或者框选全景摄像机画面任意位置，特写摄像机可自动通过云台调整与变焦，将该区域置于画面中心。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3个全景镜头支持独立上下左右滑动，可以监控不同区域。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全景摄像机：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3个1/2.8＂ Progressive Scan CMOS，单通道最高分辨率及帧率可达1920×1080@30fps；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单通道视场角：水平80.7°，垂直43.5°；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超低照度，彩色:0.001 Lux @(F1.6,AGC ON)；黑白:0.0005Lux @(F1.6,AGC ON); 0 Lux with IR。</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特写摄像机：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1个1/2.8＂ 2MP Progressive Scan CMOS，最高分辨率及帧率可达1920 × 1080@30fps；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超低照度，彩色:0.001 Lux @(F1.6,AGC ON)；黑白:0.0005Lux @(F1.6,AGC ON); 0 Lux with IR；</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10倍光学变倍，8倍数字变倍。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支持数字宽动态、透雾、强光抑制；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1路音频输入、1路音频输出；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1路报警输入、1路报警输出；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H.265/H.264/MJPEG；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支持IP66，支持防雷、防浪涌、防突波。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电源接口:DC12V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功耗:27W max（其中红外灯9W max）</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工作温度和湿度:-30℃-65℃；湿度小于90%</w:t>
            </w:r>
          </w:p>
        </w:tc>
        <w:tc>
          <w:tcPr>
            <w:tcW w:w="318"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光汇聚交换机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24口交换机</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1G光模块</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光收发器</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1光四电收发器</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五类网线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CAT 5e 无氧铜 305m/箱</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 3*1.0 纯铜 100m/卷</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五类水晶头</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立杆</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4.5米高空立杆（含地础）</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户外防水箱</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灯杆改造</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在灯杆上加横杆安装监控支架</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12芯轻凯光纤</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光纤熔纤及其配套</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光纤熔纤及其配套</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挖沟</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挖沟及修复</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专业视频线光纤布线人工焊接、摄像机安装调试、安全性能测试</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5"/>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七、宿舍区域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48盘位磁盘阵列，1024Mbps接入带宽，2个千兆数据口，1个千兆管理口，支持视频流和图片、视频文件进行混合直写存储，8U 机架式48盘位，冗余电源，支持SATA硬盘，64位多核处理器，4GB高速缓存（可扩展到32GB）,48块8T企业级磁盘，支持RAID 0、1、3、5、6、10、50，60、JBOD模式，网络协议：RTSP/ONVIF/PSIA/SIP（GB/T28181）</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硬盘录像机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硬件规格：3U标准机架式;2个HDMI，2个VGA,HDMI+VGA组内同源16盘位，可满配8T、10T硬盘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2个千兆网口2个USB2.0接口、1个USB3.0接口1个eSATA接口;报警IO：16进8出支持RAID0、1、5、10，支持全局热备盘;软件性能：输入带宽：320M64路H.264、H.265混合接入最大支持16×1080P解码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支持H.265、H.264解码;Smart 2.0/整机热备/ANR/智能检索/智能回放/车牌检索/人脸检索/热度图/客流量统计/分时段回放/超高倍速回放/双系统备份</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监控存储硬盘</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3.5”英寸，6TB容量，SATA 6Gb/S, 缓存64MB，7200转，3年质保，带RV Sensor</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授权</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摄像机接入授权管理</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ICR红外阵列筒型网络摄像机;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 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快门 1/3秒至1/100,000秒</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慢快门 支持</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 4mm, 水平视场角79°(6mm,8mm,12mm可选)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镜头接口类型 M12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日夜转换模式 ICR红外滤片式</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数字降噪 3D数字降噪</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 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 50Hz: 25fps (2560 × 1440,1920 × 1080 ,1280 × 720)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感兴趣区域 ROI支持三码流分别设置1个固定区域</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行为分析 越界侦测,区域入侵侦测,进入/离开区域侦测,徘徊侦测,人员聚集侦测,快速运动侦测,停车侦测,物品遗留/拿取侦测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异常侦测 场景变更侦测，虚焦侦测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识别检测 支持人脸侦测</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 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 -30℃~60℃,湿度小于95%(无凝结)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 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 非POE: 4.5W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 5.5W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红外照射距离最远可达30米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 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1"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半球摄像机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400万星光级1/2.7”CMOS ICR日夜型半球型网络摄像机</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最小照度:0.005Lux @(F1.2,AGC ON) ,0 Lux with IR</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镜头:4mm, 水平视场角79°(2.8mm,6mm,8mm,12mm可选)</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调整角度:水平:0°~360°;垂直:0°~ 75°;旋转:0°~360°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宽动态范围:120dB</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视频压缩标准:H.265 /H.264/ MJPEG</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最大图像尺寸:2560 × 1440</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通讯接口:1个RJ45 10M / 100M 自适应以太网口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工作温度和湿度:-30℃~60℃,湿度小于95%(无凝结)</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电源供应:DC12V±25% / PoE(802.3af)</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电源接口类型:圆头电源接口</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功耗:DC12V:5.5W MAX ; PoE:7W MAX</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红外照射距离:30米</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防护等级:IP67</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筒机支架或半球支架配套防水盒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定做外墙支架</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监视器</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 支持高清显示, DCR动态自动调节对比度；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采用3-D 数字梳状滤波器，采用3-D 降噪技术；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真彩色OSD，人性化操作菜单；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自动彩色，改善图像的对比度，细节，肤色，边缘等；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可支持数字音频输出，内置喇叭；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l 采用可编程12-bit RGB gamma校正技术；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l 具有自动消除残影功能，保护液晶屏的长期使用；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支持软件展频技术可降低EMI辐射；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具有无信号待机功能；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 支持7x24小时工作模式；</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五类网线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CAT 5e 无氧铜 305m/箱</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 3*2.5 纯铜 100m/卷</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产品类型 千兆以太网交换机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传输速率 10/100/1000Mbps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背板带宽 432Gbps/4.32Tbps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包转发率 87/166Mpps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端口数量 52个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端口描述 48个10/100/1000Base-T以太网端口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4个千兆SFP+纠错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功能特性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堆叠功能 可堆叠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VLAN 支持4K个VLAN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支持Guest VLAN、Voice VLAN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支持GVRP协议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支持MUX VLAN功能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支持基于MAC/协议/IP子网/策略/端口的VLAN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支持1:1和N:1 VLAN Mapping功能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QOS 支持对端口速率限制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支持报文重定向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每端口支持8个队列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支持基于端口的流量监管，支持双速三色CAR功能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支持WRR、DRR、SP、WRR＋SP、DRR+SP队列调度算法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支持报文的802.1p和DSCP优先级重新标记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支持基于队列限速和端口整形的功能</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POE24口交换机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产品类型 千兆以太网交换机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应用层级 二层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传输速率 10/100/1000Mbps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背板带宽 336Gbps/3.36Tbps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包转发率 51/126Mpps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端口数量 28个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端口描述 24个10/100/1000Base-T以太网端口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4个千兆SFP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功能特性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堆叠功能 可堆叠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其它参数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电源电压 额定电压：AC 100-240V，50/60Hz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电源功率 不带PoE：53W，带PoE：451W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产品尺寸 442*220*43.6mm</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汇聚交换机</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产品类型 万兆以太网交换机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传输速率 10/100/1000/10000Mbps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端口数量 24个纠错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端口描述 24个万兆SFP+，6个40/100GE QSFP28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功能特性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VLAN 支持4K个VLAN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支持Guest VLAN、Voice VLANs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支持GVRP协议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支持MUX VLAN功能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支持基于MAC/协议/IP子网/策略/端口的VLAN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支持VLAN Mapping功能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QOS 支持对端口入方向、出方向进行速率限制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支持报文重定向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支持基于端口的流量监管，支持双速三色CAR功能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每端口支持8个队列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支持DRR、SP、DRR+SP队列调度算法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支持WRED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支持报文的802.1p和DSCP优先级重新标记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支持L2（Layer 2）~L4（Layer 4）包过滤功能，提供基于源MAC地址、目的MAC地址、源IP地址、目的IP地址、TCP/UDP协议源/目的端口号、协议、VLAN的包过滤功能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支持基于队列限速和端口整形的功能</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光纤模块（单模）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10G 光模块-eSFP-GE-单模模块(1310nm,10km,LC)</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单模(1310nm,LC)（光纤做冗余）</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光纤配线盒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12芯光纤，每栋宿舍楼拉到总机房</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1500</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尾纤、耦合器</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钻尾螺丝</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25长钻尾螺丝</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胶粒</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胶布</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3m电工胶布</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20波纹管50米</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五类水晶头</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专业视频线光纤布线人工焊接、摄像机安装调试、安全性能测试</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9"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601"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技术服务费</w:t>
            </w:r>
          </w:p>
        </w:tc>
        <w:tc>
          <w:tcPr>
            <w:tcW w:w="3506"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5"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bl>
    <w:p>
      <w:pPr>
        <w:pStyle w:val="2"/>
        <w:ind w:left="0" w:leftChars="0" w:firstLine="0" w:firstLineChars="0"/>
        <w:rPr>
          <w:color w:val="auto"/>
          <w:highlight w:val="none"/>
        </w:rPr>
      </w:pPr>
    </w:p>
    <w:p>
      <w:pPr>
        <w:spacing w:after="0" w:line="360" w:lineRule="auto"/>
        <w:ind w:firstLine="422" w:firstLineChars="200"/>
        <w:rPr>
          <w:rFonts w:hint="eastAsia" w:ascii="宋体" w:hAnsi="宋体" w:eastAsia="宋体" w:cs="Times New Roman"/>
          <w:b/>
          <w:bCs/>
          <w:color w:val="auto"/>
          <w:sz w:val="21"/>
          <w:szCs w:val="21"/>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pStyle w:val="4"/>
        <w:spacing w:before="0" w:after="0" w:line="240" w:lineRule="auto"/>
        <w:rPr>
          <w:color w:val="auto"/>
          <w:sz w:val="24"/>
          <w:szCs w:val="24"/>
          <w:highlight w:val="none"/>
        </w:rPr>
      </w:pPr>
      <w:r>
        <w:rPr>
          <w:rFonts w:hint="eastAsia"/>
          <w:color w:val="auto"/>
          <w:sz w:val="24"/>
          <w:szCs w:val="24"/>
          <w:highlight w:val="none"/>
        </w:rPr>
        <w:br w:type="page"/>
      </w:r>
      <w:bookmarkStart w:id="11" w:name="_Toc2479"/>
      <w:r>
        <w:rPr>
          <w:rFonts w:hint="eastAsia"/>
          <w:color w:val="auto"/>
          <w:sz w:val="28"/>
          <w:szCs w:val="28"/>
          <w:highlight w:val="none"/>
        </w:rPr>
        <w:t>第四部分 投标人须知</w:t>
      </w:r>
      <w:bookmarkEnd w:id="11"/>
    </w:p>
    <w:p>
      <w:pPr>
        <w:pStyle w:val="5"/>
        <w:numPr>
          <w:ilvl w:val="0"/>
          <w:numId w:val="4"/>
        </w:numPr>
        <w:spacing w:before="0" w:after="0" w:line="480" w:lineRule="auto"/>
        <w:jc w:val="center"/>
        <w:rPr>
          <w:rFonts w:ascii="宋体" w:hAnsi="宋体" w:eastAsia="宋体"/>
          <w:color w:val="auto"/>
          <w:highlight w:val="none"/>
        </w:rPr>
      </w:pPr>
      <w:bookmarkStart w:id="12" w:name="_Toc19746"/>
      <w:r>
        <w:rPr>
          <w:rFonts w:hint="eastAsia" w:ascii="宋体" w:hAnsi="宋体" w:eastAsia="宋体"/>
          <w:color w:val="auto"/>
          <w:highlight w:val="none"/>
        </w:rPr>
        <w:t>说明</w:t>
      </w:r>
      <w:bookmarkEnd w:id="12"/>
    </w:p>
    <w:p>
      <w:pPr>
        <w:pStyle w:val="6"/>
        <w:widowControl w:val="0"/>
        <w:overflowPunct w:val="0"/>
        <w:spacing w:before="0" w:after="0" w:line="240" w:lineRule="auto"/>
        <w:rPr>
          <w:rFonts w:ascii="宋体" w:hAnsi="宋体" w:eastAsia="宋体"/>
          <w:color w:val="auto"/>
          <w:sz w:val="21"/>
          <w:szCs w:val="21"/>
          <w:highlight w:val="none"/>
        </w:rPr>
      </w:pPr>
      <w:bookmarkStart w:id="13" w:name="_Toc18488"/>
      <w:r>
        <w:rPr>
          <w:rFonts w:hint="eastAsia" w:ascii="宋体" w:hAnsi="宋体" w:eastAsia="宋体"/>
          <w:color w:val="auto"/>
          <w:sz w:val="21"/>
          <w:szCs w:val="21"/>
          <w:highlight w:val="none"/>
        </w:rPr>
        <w:t>1.适用范围</w:t>
      </w:r>
      <w:bookmarkEnd w:id="13"/>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4" w:name="_Toc13400"/>
      <w:r>
        <w:rPr>
          <w:rFonts w:hint="eastAsia" w:ascii="宋体" w:hAnsi="宋体" w:eastAsia="宋体"/>
          <w:color w:val="auto"/>
          <w:sz w:val="21"/>
          <w:szCs w:val="21"/>
          <w:highlight w:val="none"/>
        </w:rPr>
        <w:t>2.</w:t>
      </w:r>
      <w:bookmarkStart w:id="15" w:name="_Toc303084246"/>
      <w:bookmarkStart w:id="16" w:name="_Toc298847174"/>
      <w:bookmarkStart w:id="17" w:name="_Toc1530"/>
      <w:bookmarkStart w:id="18" w:name="_Toc382049092"/>
      <w:r>
        <w:rPr>
          <w:rFonts w:hint="eastAsia" w:ascii="宋体" w:hAnsi="宋体" w:eastAsia="宋体"/>
          <w:color w:val="auto"/>
          <w:sz w:val="21"/>
          <w:szCs w:val="21"/>
          <w:highlight w:val="none"/>
        </w:rPr>
        <w:t>定义</w:t>
      </w:r>
      <w:bookmarkEnd w:id="14"/>
      <w:bookmarkEnd w:id="15"/>
      <w:bookmarkEnd w:id="16"/>
      <w:bookmarkEnd w:id="17"/>
      <w:bookmarkEnd w:id="18"/>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9" w:name="_Toc3780"/>
      <w:r>
        <w:rPr>
          <w:rFonts w:hint="eastAsia" w:ascii="宋体" w:hAnsi="宋体" w:eastAsia="宋体"/>
          <w:color w:val="auto"/>
          <w:sz w:val="21"/>
          <w:szCs w:val="21"/>
          <w:highlight w:val="none"/>
        </w:rPr>
        <w:t>3.货物和服务</w:t>
      </w:r>
      <w:bookmarkEnd w:id="19"/>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0" w:name="_Toc15945"/>
      <w:r>
        <w:rPr>
          <w:rFonts w:hint="eastAsia" w:ascii="宋体" w:hAnsi="宋体" w:eastAsia="宋体"/>
          <w:color w:val="auto"/>
          <w:sz w:val="21"/>
          <w:szCs w:val="21"/>
          <w:highlight w:val="none"/>
        </w:rPr>
        <w:t>4.投标费用</w:t>
      </w:r>
      <w:bookmarkEnd w:id="20"/>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1" w:name="_Toc25040"/>
      <w:r>
        <w:rPr>
          <w:rFonts w:hint="eastAsia" w:ascii="宋体" w:hAnsi="宋体" w:eastAsia="宋体"/>
          <w:color w:val="auto"/>
          <w:sz w:val="21"/>
          <w:szCs w:val="21"/>
          <w:highlight w:val="none"/>
        </w:rPr>
        <w:t>5.知识产权</w:t>
      </w:r>
      <w:bookmarkEnd w:id="21"/>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2" w:name="_Toc21930"/>
      <w:r>
        <w:rPr>
          <w:rFonts w:hint="eastAsia" w:ascii="宋体" w:hAnsi="宋体" w:eastAsia="宋体"/>
          <w:color w:val="auto"/>
          <w:sz w:val="21"/>
          <w:szCs w:val="21"/>
          <w:highlight w:val="none"/>
        </w:rPr>
        <w:t>6.关于联合体投标</w:t>
      </w:r>
      <w:bookmarkEnd w:id="22"/>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5"/>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3" w:name="_Toc16571"/>
      <w:r>
        <w:rPr>
          <w:rFonts w:hint="eastAsia" w:ascii="宋体" w:hAnsi="宋体" w:eastAsia="宋体"/>
          <w:color w:val="auto"/>
          <w:sz w:val="21"/>
          <w:szCs w:val="21"/>
          <w:highlight w:val="none"/>
        </w:rPr>
        <w:t>7.关于分支机构投标</w:t>
      </w:r>
      <w:bookmarkEnd w:id="23"/>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bookmarkStart w:id="24" w:name="EB389f116341dd4693875bc7987e7327f3"/>
    </w:p>
    <w:p>
      <w:pPr>
        <w:widowControl w:val="0"/>
        <w:numPr>
          <w:ilvl w:val="1"/>
          <w:numId w:val="5"/>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Pr>
        <w:rPr>
          <w:color w:val="auto"/>
          <w:highlight w:val="none"/>
        </w:rPr>
      </w:pPr>
    </w:p>
    <w:p>
      <w:pPr>
        <w:pStyle w:val="5"/>
        <w:numPr>
          <w:ilvl w:val="0"/>
          <w:numId w:val="4"/>
        </w:numPr>
        <w:spacing w:before="0" w:after="0" w:line="480" w:lineRule="auto"/>
        <w:jc w:val="center"/>
        <w:rPr>
          <w:rFonts w:ascii="宋体" w:hAnsi="宋体" w:eastAsia="宋体"/>
          <w:color w:val="auto"/>
          <w:highlight w:val="none"/>
        </w:rPr>
      </w:pPr>
      <w:bookmarkStart w:id="25" w:name="_Toc17879"/>
      <w:r>
        <w:rPr>
          <w:rFonts w:hint="eastAsia" w:ascii="宋体" w:hAnsi="宋体" w:eastAsia="宋体"/>
          <w:color w:val="auto"/>
          <w:highlight w:val="none"/>
        </w:rPr>
        <w:t>招标文件</w:t>
      </w:r>
      <w:bookmarkEnd w:id="25"/>
    </w:p>
    <w:p>
      <w:pPr>
        <w:pStyle w:val="6"/>
        <w:widowControl w:val="0"/>
        <w:overflowPunct w:val="0"/>
        <w:spacing w:before="0" w:after="0" w:line="240" w:lineRule="auto"/>
        <w:rPr>
          <w:rFonts w:ascii="宋体" w:hAnsi="宋体" w:eastAsia="宋体"/>
          <w:color w:val="auto"/>
          <w:sz w:val="21"/>
          <w:szCs w:val="21"/>
          <w:highlight w:val="none"/>
        </w:rPr>
      </w:pPr>
      <w:bookmarkStart w:id="26" w:name="_Toc21771"/>
      <w:r>
        <w:rPr>
          <w:rFonts w:hint="eastAsia" w:ascii="宋体" w:hAnsi="宋体" w:eastAsia="宋体"/>
          <w:color w:val="auto"/>
          <w:sz w:val="21"/>
          <w:szCs w:val="21"/>
          <w:highlight w:val="none"/>
        </w:rPr>
        <w:t>8.招标文件的组成</w:t>
      </w:r>
      <w:bookmarkEnd w:id="26"/>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7" w:name="_Toc14217"/>
      <w:r>
        <w:rPr>
          <w:rFonts w:hint="eastAsia" w:ascii="宋体" w:hAnsi="宋体" w:eastAsia="宋体"/>
          <w:color w:val="auto"/>
          <w:sz w:val="21"/>
          <w:szCs w:val="21"/>
          <w:highlight w:val="none"/>
        </w:rPr>
        <w:t>9.招标文件的澄清或修改</w:t>
      </w:r>
      <w:bookmarkEnd w:id="27"/>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5"/>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4"/>
        </w:numPr>
        <w:spacing w:before="0" w:after="0" w:line="480" w:lineRule="auto"/>
        <w:jc w:val="center"/>
        <w:rPr>
          <w:rFonts w:ascii="宋体" w:hAnsi="宋体" w:eastAsia="宋体"/>
          <w:color w:val="auto"/>
          <w:highlight w:val="none"/>
        </w:rPr>
      </w:pPr>
      <w:bookmarkStart w:id="28" w:name="_Toc23726"/>
      <w:r>
        <w:rPr>
          <w:rFonts w:hint="eastAsia" w:ascii="宋体" w:hAnsi="宋体" w:eastAsia="宋体"/>
          <w:color w:val="auto"/>
          <w:highlight w:val="none"/>
        </w:rPr>
        <w:t>投标文件的编制</w:t>
      </w:r>
      <w:bookmarkEnd w:id="28"/>
    </w:p>
    <w:p>
      <w:pPr>
        <w:pStyle w:val="6"/>
        <w:widowControl w:val="0"/>
        <w:overflowPunct w:val="0"/>
        <w:spacing w:before="0" w:after="0" w:line="240" w:lineRule="auto"/>
        <w:rPr>
          <w:rFonts w:ascii="宋体" w:hAnsi="宋体" w:eastAsia="宋体"/>
          <w:color w:val="auto"/>
          <w:sz w:val="21"/>
          <w:szCs w:val="21"/>
          <w:highlight w:val="none"/>
        </w:rPr>
      </w:pPr>
      <w:bookmarkStart w:id="29" w:name="_Toc20623"/>
      <w:r>
        <w:rPr>
          <w:rFonts w:hint="eastAsia" w:ascii="宋体" w:hAnsi="宋体" w:eastAsia="宋体"/>
          <w:color w:val="auto"/>
          <w:sz w:val="21"/>
          <w:szCs w:val="21"/>
          <w:highlight w:val="none"/>
        </w:rPr>
        <w:t>10.投标文件的语言及度量衡单位</w:t>
      </w:r>
      <w:bookmarkEnd w:id="29"/>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0" w:name="_Toc28866"/>
      <w:bookmarkStart w:id="31" w:name="_Toc382049103"/>
      <w:bookmarkStart w:id="32" w:name="_Toc307934854"/>
      <w:bookmarkStart w:id="33" w:name="_Toc303084256"/>
      <w:bookmarkStart w:id="34" w:name="_Toc12145"/>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0"/>
      <w:bookmarkEnd w:id="31"/>
      <w:bookmarkEnd w:id="32"/>
      <w:bookmarkEnd w:id="33"/>
      <w:bookmarkEnd w:id="34"/>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5"/>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5" w:name="_Toc30189"/>
      <w:r>
        <w:rPr>
          <w:rFonts w:hint="eastAsia" w:ascii="宋体" w:hAnsi="宋体" w:eastAsia="宋体"/>
          <w:color w:val="auto"/>
          <w:sz w:val="21"/>
          <w:szCs w:val="21"/>
          <w:highlight w:val="none"/>
        </w:rPr>
        <w:t>12.投标文件编制</w:t>
      </w:r>
      <w:bookmarkEnd w:id="35"/>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bookmarkStart w:id="36" w:name="_Toc303084258"/>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7"/>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7"/>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6"/>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7" w:name="_Toc259"/>
      <w:r>
        <w:rPr>
          <w:rFonts w:hint="eastAsia" w:ascii="宋体" w:hAnsi="宋体" w:eastAsia="宋体"/>
          <w:color w:val="auto"/>
          <w:sz w:val="21"/>
          <w:szCs w:val="21"/>
          <w:highlight w:val="none"/>
        </w:rPr>
        <w:t>13.投标报价说明</w:t>
      </w:r>
      <w:bookmarkEnd w:id="37"/>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8" w:name="_Toc27724"/>
      <w:r>
        <w:rPr>
          <w:rFonts w:hint="eastAsia" w:ascii="宋体" w:hAnsi="宋体" w:eastAsia="宋体"/>
          <w:color w:val="auto"/>
          <w:sz w:val="21"/>
          <w:szCs w:val="21"/>
          <w:highlight w:val="none"/>
        </w:rPr>
        <w:t>14.投标人所提供的服务或货物的证明文件</w:t>
      </w:r>
      <w:bookmarkEnd w:id="38"/>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bookmarkStart w:id="39" w:name="_Hlt107925668"/>
      <w:bookmarkEnd w:id="39"/>
      <w:bookmarkStart w:id="40" w:name="_Hlt107925638"/>
      <w:bookmarkEnd w:id="40"/>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7"/>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1" w:name="_Toc19520"/>
      <w:r>
        <w:rPr>
          <w:rFonts w:hint="eastAsia" w:ascii="宋体" w:hAnsi="宋体" w:eastAsia="宋体"/>
          <w:color w:val="auto"/>
          <w:sz w:val="21"/>
          <w:szCs w:val="21"/>
          <w:highlight w:val="none"/>
        </w:rPr>
        <w:t>15.★投标有效期</w:t>
      </w:r>
      <w:bookmarkEnd w:id="41"/>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2" w:name="_Toc12456"/>
      <w:r>
        <w:rPr>
          <w:rFonts w:hint="eastAsia" w:ascii="宋体" w:hAnsi="宋体" w:eastAsia="宋体"/>
          <w:color w:val="auto"/>
          <w:sz w:val="21"/>
          <w:szCs w:val="21"/>
          <w:highlight w:val="none"/>
        </w:rPr>
        <w:t>16.★投标保证金</w:t>
      </w:r>
      <w:bookmarkEnd w:id="42"/>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bookmarkStart w:id="43" w:name="_Ref179619405"/>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3"/>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4"/>
        </w:numPr>
        <w:spacing w:before="0" w:after="0" w:line="480" w:lineRule="auto"/>
        <w:jc w:val="center"/>
        <w:rPr>
          <w:rFonts w:ascii="宋体" w:hAnsi="宋体" w:eastAsia="宋体"/>
          <w:color w:val="auto"/>
          <w:highlight w:val="none"/>
        </w:rPr>
      </w:pPr>
      <w:bookmarkStart w:id="44" w:name="_Toc31124"/>
      <w:r>
        <w:rPr>
          <w:rFonts w:hint="eastAsia" w:ascii="宋体" w:hAnsi="宋体" w:eastAsia="宋体"/>
          <w:color w:val="auto"/>
          <w:highlight w:val="none"/>
        </w:rPr>
        <w:t>投标文件的递交</w:t>
      </w:r>
      <w:bookmarkEnd w:id="44"/>
    </w:p>
    <w:p>
      <w:pPr>
        <w:pStyle w:val="6"/>
        <w:widowControl w:val="0"/>
        <w:overflowPunct w:val="0"/>
        <w:spacing w:before="0" w:after="0" w:line="240" w:lineRule="auto"/>
        <w:rPr>
          <w:rFonts w:ascii="宋体" w:hAnsi="宋体" w:eastAsia="宋体"/>
          <w:color w:val="auto"/>
          <w:sz w:val="21"/>
          <w:szCs w:val="21"/>
          <w:highlight w:val="none"/>
        </w:rPr>
      </w:pPr>
      <w:bookmarkStart w:id="45" w:name="_Toc303084264"/>
      <w:bookmarkStart w:id="46" w:name="_Toc24997"/>
      <w:bookmarkStart w:id="47" w:name="_Toc29590"/>
      <w:bookmarkStart w:id="48" w:name="_Toc382049111"/>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5"/>
      <w:bookmarkEnd w:id="46"/>
      <w:bookmarkEnd w:id="47"/>
      <w:bookmarkEnd w:id="48"/>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7"/>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9" w:name="_Toc8628"/>
      <w:r>
        <w:rPr>
          <w:rFonts w:hint="eastAsia" w:ascii="宋体" w:hAnsi="宋体" w:eastAsia="宋体"/>
          <w:color w:val="auto"/>
          <w:sz w:val="21"/>
          <w:szCs w:val="21"/>
          <w:highlight w:val="none"/>
        </w:rPr>
        <w:t>18.迟交的投标文件</w:t>
      </w:r>
      <w:bookmarkEnd w:id="49"/>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0" w:name="_Toc13212"/>
      <w:r>
        <w:rPr>
          <w:rFonts w:hint="eastAsia" w:ascii="宋体" w:hAnsi="宋体" w:eastAsia="宋体"/>
          <w:color w:val="auto"/>
          <w:sz w:val="21"/>
          <w:szCs w:val="21"/>
          <w:highlight w:val="none"/>
        </w:rPr>
        <w:t>19.投标样品（如需提交）</w:t>
      </w:r>
      <w:bookmarkEnd w:id="50"/>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1" w:name="_Toc382049112"/>
      <w:bookmarkStart w:id="52" w:name="_Toc303084265"/>
      <w:bookmarkStart w:id="53" w:name="_Toc5900"/>
      <w:bookmarkStart w:id="54" w:name="_Toc9777"/>
      <w:r>
        <w:rPr>
          <w:rFonts w:hint="eastAsia" w:ascii="宋体" w:hAnsi="宋体" w:eastAsia="宋体"/>
          <w:color w:val="auto"/>
          <w:sz w:val="21"/>
          <w:szCs w:val="21"/>
          <w:highlight w:val="none"/>
        </w:rPr>
        <w:t>20.投标截止期</w:t>
      </w:r>
      <w:bookmarkEnd w:id="51"/>
      <w:bookmarkEnd w:id="52"/>
      <w:bookmarkEnd w:id="53"/>
      <w:bookmarkEnd w:id="54"/>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5" w:name="_Toc6003"/>
      <w:r>
        <w:rPr>
          <w:rFonts w:hint="eastAsia" w:ascii="宋体" w:hAnsi="宋体" w:eastAsia="宋体"/>
          <w:color w:val="auto"/>
          <w:sz w:val="21"/>
          <w:szCs w:val="21"/>
          <w:highlight w:val="none"/>
        </w:rPr>
        <w:t>21.投标文件的补充、修改与撤回</w:t>
      </w:r>
      <w:bookmarkEnd w:id="55"/>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4"/>
        </w:numPr>
        <w:spacing w:before="0" w:after="0" w:line="480" w:lineRule="auto"/>
        <w:jc w:val="center"/>
        <w:rPr>
          <w:rFonts w:ascii="宋体" w:hAnsi="宋体" w:eastAsia="宋体"/>
          <w:color w:val="auto"/>
          <w:highlight w:val="none"/>
        </w:rPr>
      </w:pPr>
      <w:bookmarkStart w:id="56" w:name="_Toc29574"/>
      <w:r>
        <w:rPr>
          <w:rFonts w:hint="eastAsia" w:ascii="宋体" w:hAnsi="宋体" w:eastAsia="宋体"/>
          <w:color w:val="auto"/>
          <w:highlight w:val="none"/>
        </w:rPr>
        <w:t>开标与评标</w:t>
      </w:r>
      <w:bookmarkEnd w:id="56"/>
    </w:p>
    <w:p>
      <w:pPr>
        <w:pStyle w:val="6"/>
        <w:widowControl w:val="0"/>
        <w:overflowPunct w:val="0"/>
        <w:spacing w:before="0" w:after="0" w:line="240" w:lineRule="auto"/>
        <w:rPr>
          <w:rFonts w:ascii="宋体" w:hAnsi="宋体" w:eastAsia="宋体"/>
          <w:color w:val="auto"/>
          <w:sz w:val="21"/>
          <w:szCs w:val="21"/>
          <w:highlight w:val="none"/>
        </w:rPr>
      </w:pPr>
      <w:bookmarkStart w:id="57" w:name="_Toc28458"/>
      <w:r>
        <w:rPr>
          <w:rFonts w:hint="eastAsia" w:ascii="宋体" w:hAnsi="宋体" w:eastAsia="宋体"/>
          <w:color w:val="auto"/>
          <w:sz w:val="21"/>
          <w:szCs w:val="21"/>
          <w:highlight w:val="none"/>
        </w:rPr>
        <w:t>22.开标</w:t>
      </w:r>
      <w:bookmarkEnd w:id="57"/>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5"/>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5"/>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5"/>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8" w:name="_Toc5524"/>
      <w:r>
        <w:rPr>
          <w:rFonts w:hint="eastAsia" w:ascii="宋体" w:hAnsi="宋体" w:eastAsia="宋体"/>
          <w:color w:val="auto"/>
          <w:sz w:val="21"/>
          <w:szCs w:val="21"/>
          <w:highlight w:val="none"/>
        </w:rPr>
        <w:t>23.评标委员会及评标方法</w:t>
      </w:r>
      <w:bookmarkEnd w:id="58"/>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9" w:name="_Toc15231"/>
      <w:r>
        <w:rPr>
          <w:rFonts w:hint="eastAsia" w:ascii="宋体" w:hAnsi="宋体" w:eastAsia="宋体"/>
          <w:color w:val="auto"/>
          <w:sz w:val="21"/>
          <w:szCs w:val="21"/>
          <w:highlight w:val="none"/>
        </w:rPr>
        <w:t>24.评审原则及评标过程的保密</w:t>
      </w:r>
      <w:bookmarkEnd w:id="59"/>
    </w:p>
    <w:p>
      <w:pPr>
        <w:pStyle w:val="27"/>
        <w:widowControl w:val="0"/>
        <w:numPr>
          <w:ilvl w:val="0"/>
          <w:numId w:val="5"/>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0" w:name="_Toc3762"/>
      <w:r>
        <w:rPr>
          <w:rFonts w:hint="eastAsia" w:ascii="宋体" w:hAnsi="宋体" w:eastAsia="宋体"/>
          <w:color w:val="auto"/>
          <w:sz w:val="21"/>
          <w:szCs w:val="21"/>
          <w:highlight w:val="none"/>
        </w:rPr>
        <w:t>25.投标文件的初审</w:t>
      </w:r>
      <w:bookmarkEnd w:id="60"/>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5"/>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1" w:name="_Toc21742"/>
      <w:r>
        <w:rPr>
          <w:rFonts w:hint="eastAsia" w:ascii="宋体" w:hAnsi="宋体" w:eastAsia="宋体"/>
          <w:color w:val="auto"/>
          <w:sz w:val="21"/>
          <w:szCs w:val="21"/>
          <w:highlight w:val="none"/>
        </w:rPr>
        <w:t>26.商务、技术、价格评审（具体评审项目详见投标资料表）</w:t>
      </w:r>
      <w:bookmarkEnd w:id="61"/>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2" w:name="_Toc22192"/>
      <w:r>
        <w:rPr>
          <w:rFonts w:hint="eastAsia" w:ascii="宋体" w:hAnsi="宋体" w:eastAsia="宋体"/>
          <w:color w:val="auto"/>
          <w:sz w:val="21"/>
          <w:szCs w:val="21"/>
          <w:highlight w:val="none"/>
        </w:rPr>
        <w:t>27.优惠政策</w:t>
      </w:r>
      <w:bookmarkEnd w:id="62"/>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5"/>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8"/>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8"/>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8"/>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382049120"/>
      <w:bookmarkStart w:id="65" w:name="_Toc20328"/>
      <w:bookmarkStart w:id="66" w:name="_Toc22591"/>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4"/>
        </w:numPr>
        <w:spacing w:before="0" w:after="0" w:line="480" w:lineRule="auto"/>
        <w:jc w:val="center"/>
        <w:rPr>
          <w:rFonts w:ascii="宋体" w:hAnsi="宋体" w:eastAsia="宋体"/>
          <w:color w:val="auto"/>
          <w:highlight w:val="none"/>
        </w:rPr>
      </w:pPr>
      <w:bookmarkStart w:id="67" w:name="_Toc29310"/>
      <w:r>
        <w:rPr>
          <w:rFonts w:hint="eastAsia" w:ascii="宋体" w:hAnsi="宋体" w:eastAsia="宋体"/>
          <w:color w:val="auto"/>
          <w:highlight w:val="none"/>
        </w:rPr>
        <w:t>授予合同</w:t>
      </w:r>
      <w:bookmarkEnd w:id="67"/>
    </w:p>
    <w:p>
      <w:pPr>
        <w:pStyle w:val="6"/>
        <w:widowControl w:val="0"/>
        <w:overflowPunct w:val="0"/>
        <w:spacing w:before="0" w:after="0" w:line="240" w:lineRule="auto"/>
        <w:rPr>
          <w:rFonts w:ascii="宋体" w:hAnsi="宋体" w:eastAsia="宋体"/>
          <w:color w:val="auto"/>
          <w:sz w:val="21"/>
          <w:szCs w:val="21"/>
          <w:highlight w:val="none"/>
        </w:rPr>
      </w:pPr>
      <w:bookmarkStart w:id="68" w:name="_Toc508284011"/>
      <w:bookmarkStart w:id="69"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8"/>
      <w:bookmarkEnd w:id="69"/>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0" w:name="_Toc508284013"/>
      <w:bookmarkStart w:id="71" w:name="_Toc29283"/>
      <w:r>
        <w:rPr>
          <w:rFonts w:hint="eastAsia" w:ascii="宋体" w:hAnsi="宋体" w:eastAsia="宋体"/>
          <w:color w:val="auto"/>
          <w:sz w:val="21"/>
          <w:szCs w:val="21"/>
          <w:highlight w:val="none"/>
        </w:rPr>
        <w:t>30.发布采购结果</w:t>
      </w:r>
      <w:bookmarkEnd w:id="70"/>
      <w:bookmarkEnd w:id="71"/>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5"/>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5"/>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5"/>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2" w:name="_Toc22451"/>
      <w:r>
        <w:rPr>
          <w:rFonts w:hint="eastAsia" w:ascii="宋体" w:hAnsi="宋体" w:eastAsia="宋体"/>
          <w:color w:val="auto"/>
          <w:sz w:val="21"/>
          <w:szCs w:val="21"/>
          <w:highlight w:val="none"/>
        </w:rPr>
        <w:t>31.合同的签订与履行</w:t>
      </w:r>
      <w:bookmarkEnd w:id="72"/>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5"/>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3" w:name="_Toc382049124"/>
      <w:bookmarkStart w:id="74" w:name="_Toc29009"/>
      <w:bookmarkStart w:id="75" w:name="_Toc2744"/>
      <w:bookmarkStart w:id="76" w:name="_Toc303084277"/>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3"/>
      <w:bookmarkEnd w:id="74"/>
      <w:bookmarkEnd w:id="75"/>
      <w:bookmarkEnd w:id="76"/>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4"/>
        </w:numPr>
        <w:spacing w:before="0" w:after="0" w:line="480" w:lineRule="auto"/>
        <w:jc w:val="center"/>
        <w:rPr>
          <w:rFonts w:ascii="宋体" w:hAnsi="宋体" w:eastAsia="宋体"/>
          <w:color w:val="auto"/>
          <w:highlight w:val="none"/>
        </w:rPr>
      </w:pPr>
      <w:bookmarkStart w:id="77" w:name="_Toc13694"/>
      <w:r>
        <w:rPr>
          <w:rFonts w:hint="eastAsia" w:ascii="宋体" w:hAnsi="宋体" w:eastAsia="宋体"/>
          <w:color w:val="auto"/>
          <w:highlight w:val="none"/>
        </w:rPr>
        <w:t>询问或质疑</w:t>
      </w:r>
      <w:bookmarkEnd w:id="77"/>
    </w:p>
    <w:p>
      <w:pPr>
        <w:pStyle w:val="6"/>
        <w:widowControl w:val="0"/>
        <w:overflowPunct w:val="0"/>
        <w:spacing w:before="0" w:after="0" w:line="240" w:lineRule="auto"/>
        <w:rPr>
          <w:rFonts w:ascii="宋体" w:hAnsi="宋体" w:eastAsia="宋体"/>
          <w:color w:val="auto"/>
          <w:sz w:val="21"/>
          <w:szCs w:val="21"/>
          <w:highlight w:val="none"/>
        </w:rPr>
      </w:pPr>
      <w:bookmarkStart w:id="78" w:name="_Toc25498"/>
      <w:r>
        <w:rPr>
          <w:rFonts w:hint="eastAsia" w:ascii="宋体" w:hAnsi="宋体" w:eastAsia="宋体"/>
          <w:color w:val="auto"/>
          <w:sz w:val="21"/>
          <w:szCs w:val="21"/>
          <w:highlight w:val="none"/>
        </w:rPr>
        <w:t>33.询问</w:t>
      </w:r>
      <w:bookmarkEnd w:id="78"/>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9" w:name="_Toc8234"/>
      <w:r>
        <w:rPr>
          <w:rFonts w:hint="eastAsia" w:ascii="宋体" w:hAnsi="宋体" w:eastAsia="宋体"/>
          <w:color w:val="auto"/>
          <w:sz w:val="21"/>
          <w:szCs w:val="21"/>
          <w:highlight w:val="none"/>
        </w:rPr>
        <w:t>34.质疑</w:t>
      </w:r>
      <w:bookmarkEnd w:id="79"/>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5"/>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4"/>
        </w:numPr>
        <w:spacing w:before="0" w:after="0" w:line="480" w:lineRule="auto"/>
        <w:jc w:val="center"/>
        <w:rPr>
          <w:rFonts w:ascii="宋体" w:hAnsi="宋体" w:eastAsia="宋体"/>
          <w:color w:val="auto"/>
          <w:highlight w:val="none"/>
        </w:rPr>
      </w:pPr>
      <w:bookmarkStart w:id="80" w:name="_Toc24383"/>
      <w:r>
        <w:rPr>
          <w:rFonts w:hint="eastAsia" w:ascii="宋体" w:hAnsi="宋体" w:eastAsia="宋体"/>
          <w:color w:val="auto"/>
          <w:highlight w:val="none"/>
        </w:rPr>
        <w:t>其他</w:t>
      </w:r>
      <w:bookmarkEnd w:id="80"/>
    </w:p>
    <w:p>
      <w:pPr>
        <w:pStyle w:val="6"/>
        <w:widowControl w:val="0"/>
        <w:overflowPunct w:val="0"/>
        <w:spacing w:before="0" w:after="0" w:line="240" w:lineRule="auto"/>
        <w:rPr>
          <w:rFonts w:ascii="宋体" w:hAnsi="宋体" w:eastAsia="宋体"/>
          <w:color w:val="auto"/>
          <w:sz w:val="21"/>
          <w:szCs w:val="21"/>
          <w:highlight w:val="none"/>
        </w:rPr>
      </w:pPr>
      <w:bookmarkStart w:id="81" w:name="_Toc10082"/>
      <w:r>
        <w:rPr>
          <w:rFonts w:hint="eastAsia" w:ascii="宋体" w:hAnsi="宋体" w:eastAsia="宋体"/>
          <w:color w:val="auto"/>
          <w:sz w:val="21"/>
          <w:szCs w:val="21"/>
          <w:highlight w:val="none"/>
        </w:rPr>
        <w:t>35.招标文件的解释权</w:t>
      </w:r>
      <w:bookmarkEnd w:id="81"/>
    </w:p>
    <w:p>
      <w:pPr>
        <w:pStyle w:val="27"/>
        <w:widowControl w:val="0"/>
        <w:numPr>
          <w:ilvl w:val="0"/>
          <w:numId w:val="5"/>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5"/>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82" w:name="_Toc21448"/>
      <w:r>
        <w:rPr>
          <w:rFonts w:hint="eastAsia"/>
          <w:color w:val="auto"/>
          <w:sz w:val="28"/>
          <w:szCs w:val="28"/>
          <w:highlight w:val="none"/>
        </w:rPr>
        <w:t>第五部分 合同格式（仅供参考）</w:t>
      </w:r>
      <w:bookmarkEnd w:id="82"/>
      <w:bookmarkStart w:id="83" w:name="_Toc13430"/>
      <w:bookmarkStart w:id="84" w:name="_Toc1534"/>
      <w:bookmarkStart w:id="85" w:name="_Toc21155"/>
    </w:p>
    <w:p>
      <w:pPr>
        <w:pStyle w:val="5"/>
        <w:spacing w:before="0" w:after="0" w:line="240" w:lineRule="auto"/>
        <w:jc w:val="center"/>
        <w:rPr>
          <w:rFonts w:ascii="宋体" w:hAnsi="宋体" w:eastAsia="宋体" w:cs="宋体"/>
          <w:color w:val="auto"/>
          <w:highlight w:val="none"/>
        </w:rPr>
      </w:pPr>
      <w:bookmarkStart w:id="86" w:name="_Toc16730"/>
      <w:r>
        <w:rPr>
          <w:rFonts w:hint="eastAsia" w:ascii="宋体" w:hAnsi="宋体" w:eastAsia="宋体" w:cs="宋体"/>
          <w:color w:val="auto"/>
          <w:highlight w:val="none"/>
        </w:rPr>
        <w:t>合同格式</w:t>
      </w:r>
      <w:bookmarkEnd w:id="83"/>
      <w:bookmarkEnd w:id="84"/>
      <w:bookmarkEnd w:id="85"/>
      <w:bookmarkEnd w:id="86"/>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7"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auto"/>
          <w:sz w:val="21"/>
          <w:szCs w:val="21"/>
          <w:highlight w:val="none"/>
        </w:rPr>
      </w:pPr>
      <w:bookmarkStart w:id="88"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9" w:name="_Toc86481569"/>
      <w:r>
        <w:rPr>
          <w:rFonts w:hint="eastAsia" w:ascii="宋体" w:hAnsi="宋体" w:eastAsia="宋体"/>
          <w:b/>
          <w:color w:val="auto"/>
          <w:sz w:val="21"/>
          <w:szCs w:val="21"/>
          <w:highlight w:val="none"/>
        </w:rPr>
        <w:t>第十二条 合同生效</w:t>
      </w:r>
      <w:bookmarkEnd w:id="89"/>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8"/>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90" w:name="_Toc23749"/>
      <w:r>
        <w:rPr>
          <w:rFonts w:hint="eastAsia"/>
          <w:color w:val="auto"/>
          <w:sz w:val="28"/>
          <w:szCs w:val="28"/>
          <w:highlight w:val="none"/>
        </w:rPr>
        <w:t>第六部分  附件－投标文件格式</w:t>
      </w:r>
      <w:bookmarkEnd w:id="90"/>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1" w:name="_Toc26830"/>
      <w:r>
        <w:rPr>
          <w:rFonts w:hint="eastAsia" w:ascii="宋体" w:hAnsi="宋体" w:eastAsia="宋体"/>
          <w:color w:val="auto"/>
          <w:sz w:val="21"/>
          <w:szCs w:val="21"/>
          <w:highlight w:val="none"/>
        </w:rPr>
        <w:t>附件1.投标文件目录</w:t>
      </w:r>
      <w:bookmarkEnd w:id="91"/>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2" w:name="_Toc18893"/>
      <w:r>
        <w:rPr>
          <w:rFonts w:hint="eastAsia" w:ascii="宋体" w:hAnsi="宋体" w:eastAsia="宋体"/>
          <w:color w:val="auto"/>
          <w:sz w:val="21"/>
          <w:szCs w:val="21"/>
          <w:highlight w:val="none"/>
        </w:rPr>
        <w:t>附件1-1 评分标准索引表</w:t>
      </w:r>
      <w:bookmarkEnd w:id="9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1"/>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3" w:name="_Toc30640"/>
      <w:r>
        <w:rPr>
          <w:rFonts w:hint="eastAsia" w:ascii="宋体" w:hAnsi="宋体" w:eastAsia="宋体"/>
          <w:color w:val="auto"/>
          <w:sz w:val="21"/>
          <w:szCs w:val="21"/>
          <w:highlight w:val="none"/>
        </w:rPr>
        <w:t>附件2.投标书格式</w:t>
      </w:r>
      <w:bookmarkEnd w:id="93"/>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2"/>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94" w:name="_Toc6866"/>
      <w:r>
        <w:rPr>
          <w:rFonts w:hint="eastAsia" w:ascii="宋体" w:hAnsi="宋体" w:eastAsia="宋体"/>
          <w:color w:val="auto"/>
          <w:sz w:val="21"/>
          <w:szCs w:val="21"/>
          <w:highlight w:val="none"/>
        </w:rPr>
        <w:t>附件3.开标一览表格式</w:t>
      </w:r>
      <w:bookmarkEnd w:id="9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5"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7"/>
                <w:rFonts w:hint="eastAsia" w:ascii="宋体" w:hAnsi="宋体" w:eastAsia="宋体" w:cs="宋体"/>
                <w:b/>
                <w:color w:val="auto"/>
                <w:sz w:val="21"/>
                <w:szCs w:val="21"/>
                <w:highlight w:val="none"/>
              </w:rPr>
              <w:t>；</w:t>
            </w:r>
          </w:p>
          <w:p>
            <w:pPr>
              <w:tabs>
                <w:tab w:val="left" w:pos="284"/>
              </w:tabs>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7"/>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7"/>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7"/>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6" w:name="_Toc16412"/>
      <w:r>
        <w:rPr>
          <w:rFonts w:hint="eastAsia" w:ascii="宋体" w:hAnsi="宋体" w:eastAsia="宋体"/>
          <w:color w:val="auto"/>
          <w:sz w:val="21"/>
          <w:szCs w:val="21"/>
          <w:highlight w:val="none"/>
        </w:rPr>
        <w:t>附件5. 法定代表人证明书格式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0"/>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0"/>
        <w:spacing w:line="420" w:lineRule="atLeast"/>
        <w:ind w:firstLine="433"/>
        <w:rPr>
          <w:rFonts w:ascii="宋体" w:eastAsia="宋体"/>
          <w:color w:val="auto"/>
          <w:sz w:val="21"/>
          <w:szCs w:val="21"/>
          <w:highlight w:val="none"/>
        </w:rPr>
      </w:pPr>
    </w:p>
    <w:p>
      <w:pPr>
        <w:pStyle w:val="30"/>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0"/>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0"/>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0"/>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0"/>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97" w:name="_Toc31205"/>
      <w:r>
        <w:rPr>
          <w:rFonts w:hint="eastAsia" w:ascii="宋体" w:hAnsi="宋体" w:eastAsia="宋体"/>
          <w:color w:val="auto"/>
          <w:sz w:val="21"/>
          <w:szCs w:val="21"/>
          <w:highlight w:val="none"/>
        </w:rPr>
        <w:t>附件6.法定代表人授权书格式</w:t>
      </w:r>
      <w:bookmarkEnd w:id="9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0"/>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0"/>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0"/>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0"/>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0"/>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0"/>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8"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9" w:name="_Toc17164"/>
      <w:r>
        <w:rPr>
          <w:rFonts w:hint="eastAsia" w:ascii="宋体" w:hAnsi="宋体" w:eastAsia="宋体"/>
          <w:color w:val="auto"/>
          <w:sz w:val="21"/>
          <w:szCs w:val="21"/>
          <w:highlight w:val="none"/>
        </w:rPr>
        <w:t>附件7.资格申明</w:t>
      </w:r>
      <w:bookmarkEnd w:id="99"/>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0"/>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0" w:name="_Toc27839"/>
      <w:r>
        <w:rPr>
          <w:rFonts w:hint="eastAsia" w:ascii="宋体" w:hAnsi="宋体" w:eastAsia="宋体"/>
          <w:color w:val="auto"/>
          <w:sz w:val="21"/>
          <w:szCs w:val="21"/>
          <w:highlight w:val="none"/>
        </w:rPr>
        <w:t>附件8.营业执照</w:t>
      </w:r>
      <w:bookmarkEnd w:id="100"/>
    </w:p>
    <w:p>
      <w:pPr>
        <w:jc w:val="center"/>
        <w:rPr>
          <w:rFonts w:ascii="黑体" w:eastAsia="黑体"/>
          <w:color w:val="auto"/>
          <w:sz w:val="28"/>
          <w:szCs w:val="28"/>
          <w:highlight w:val="none"/>
        </w:rPr>
      </w:pPr>
      <w:bookmarkStart w:id="101" w:name="_Toc1511"/>
      <w:bookmarkStart w:id="102" w:name="_Toc17470"/>
      <w:bookmarkStart w:id="103" w:name="_Toc24210"/>
      <w:bookmarkStart w:id="104" w:name="_Toc4926"/>
      <w:bookmarkStart w:id="105" w:name="_Toc5919"/>
      <w:r>
        <w:rPr>
          <w:rFonts w:hint="eastAsia" w:ascii="黑体" w:eastAsia="黑体"/>
          <w:color w:val="auto"/>
          <w:sz w:val="28"/>
          <w:szCs w:val="28"/>
          <w:highlight w:val="none"/>
        </w:rPr>
        <w:t>营业执照</w:t>
      </w:r>
      <w:bookmarkEnd w:id="101"/>
      <w:bookmarkEnd w:id="102"/>
      <w:bookmarkEnd w:id="103"/>
      <w:bookmarkEnd w:id="104"/>
      <w:bookmarkEnd w:id="105"/>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6" w:name="_Toc26141"/>
      <w:r>
        <w:rPr>
          <w:rFonts w:hint="eastAsia" w:ascii="宋体" w:hAnsi="宋体" w:eastAsia="宋体"/>
          <w:color w:val="auto"/>
          <w:sz w:val="21"/>
          <w:szCs w:val="21"/>
          <w:highlight w:val="none"/>
        </w:rPr>
        <w:t>附件9.相关资质证明文件</w:t>
      </w:r>
      <w:bookmarkEnd w:id="106"/>
    </w:p>
    <w:p>
      <w:pPr>
        <w:rPr>
          <w:color w:val="auto"/>
          <w:highlight w:val="none"/>
        </w:rPr>
      </w:pPr>
    </w:p>
    <w:p>
      <w:pPr>
        <w:jc w:val="center"/>
        <w:rPr>
          <w:rFonts w:ascii="黑体" w:eastAsia="黑体"/>
          <w:color w:val="auto"/>
          <w:sz w:val="28"/>
          <w:szCs w:val="28"/>
          <w:highlight w:val="none"/>
        </w:rPr>
      </w:pPr>
      <w:bookmarkStart w:id="107" w:name="_Toc30307"/>
      <w:bookmarkStart w:id="108" w:name="_Toc16233"/>
      <w:bookmarkStart w:id="109" w:name="_Toc13458"/>
      <w:bookmarkStart w:id="110" w:name="_Toc9592"/>
      <w:bookmarkStart w:id="111" w:name="_Toc16698"/>
      <w:r>
        <w:rPr>
          <w:rFonts w:hint="eastAsia" w:ascii="黑体" w:eastAsia="黑体"/>
          <w:color w:val="auto"/>
          <w:sz w:val="28"/>
          <w:szCs w:val="28"/>
          <w:highlight w:val="none"/>
        </w:rPr>
        <w:t>相关资质证明文件</w:t>
      </w:r>
      <w:bookmarkEnd w:id="98"/>
      <w:bookmarkEnd w:id="107"/>
      <w:bookmarkEnd w:id="108"/>
      <w:bookmarkEnd w:id="109"/>
      <w:bookmarkEnd w:id="110"/>
      <w:bookmarkEnd w:id="111"/>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2" w:name="_Toc17618"/>
      <w:r>
        <w:rPr>
          <w:rFonts w:hint="eastAsia" w:ascii="宋体" w:hAnsi="宋体" w:eastAsia="宋体"/>
          <w:color w:val="auto"/>
          <w:sz w:val="21"/>
          <w:szCs w:val="21"/>
          <w:highlight w:val="none"/>
        </w:rPr>
        <w:t>附件10. 商务条款偏离表格式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3" w:name="_Toc32183"/>
      <w:r>
        <w:rPr>
          <w:rFonts w:hint="eastAsia" w:ascii="宋体" w:hAnsi="宋体" w:eastAsia="宋体"/>
          <w:color w:val="auto"/>
          <w:sz w:val="21"/>
          <w:szCs w:val="21"/>
          <w:highlight w:val="none"/>
        </w:rPr>
        <w:t>附件11. 技术规格偏离表格式</w:t>
      </w:r>
      <w:bookmarkEnd w:id="11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4"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15" w:name="_Toc29613"/>
      <w:r>
        <w:rPr>
          <w:rFonts w:hint="eastAsia" w:ascii="宋体" w:hAnsi="宋体" w:eastAsia="宋体"/>
          <w:color w:val="auto"/>
          <w:sz w:val="21"/>
          <w:szCs w:val="21"/>
          <w:highlight w:val="none"/>
        </w:rPr>
        <w:t>附件12.重要技术参数（▲）响应表</w:t>
      </w:r>
      <w:bookmarkEnd w:id="114"/>
      <w:bookmarkEnd w:id="115"/>
    </w:p>
    <w:p>
      <w:pPr>
        <w:jc w:val="center"/>
        <w:rPr>
          <w:rFonts w:ascii="黑体" w:eastAsia="黑体"/>
          <w:color w:val="auto"/>
          <w:sz w:val="28"/>
          <w:szCs w:val="28"/>
          <w:highlight w:val="none"/>
        </w:rPr>
      </w:pPr>
      <w:bookmarkStart w:id="116" w:name="_Toc26078"/>
      <w:bookmarkStart w:id="117" w:name="_Toc6080"/>
      <w:bookmarkStart w:id="118" w:name="_Toc4827"/>
      <w:bookmarkStart w:id="119" w:name="_Toc18668"/>
      <w:bookmarkStart w:id="120" w:name="_Toc1274"/>
      <w:bookmarkStart w:id="121" w:name="_Toc4464"/>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6"/>
      <w:bookmarkEnd w:id="117"/>
      <w:bookmarkEnd w:id="118"/>
      <w:bookmarkEnd w:id="119"/>
      <w:bookmarkEnd w:id="120"/>
      <w:bookmarkEnd w:id="121"/>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22" w:name="_Toc21739"/>
            <w:bookmarkStart w:id="123" w:name="_Toc15903"/>
            <w:bookmarkStart w:id="124" w:name="_Toc14815"/>
            <w:bookmarkStart w:id="125" w:name="_Toc16872"/>
            <w:bookmarkStart w:id="126" w:name="_Toc12049"/>
            <w:bookmarkStart w:id="127" w:name="_Toc4304"/>
            <w:bookmarkStart w:id="128" w:name="_Toc27090"/>
            <w:bookmarkStart w:id="129" w:name="_Toc22448"/>
            <w:bookmarkStart w:id="130" w:name="_Toc2700"/>
            <w:bookmarkStart w:id="131" w:name="_Toc10045"/>
            <w:r>
              <w:rPr>
                <w:rFonts w:hint="eastAsia" w:ascii="宋体" w:hAnsi="宋体" w:eastAsia="宋体" w:cs="Times New Roman"/>
                <w:color w:val="auto"/>
                <w:sz w:val="21"/>
                <w:szCs w:val="21"/>
                <w:highlight w:val="none"/>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2" w:name="_Toc24662"/>
            <w:bookmarkStart w:id="133" w:name="_Toc22879"/>
            <w:bookmarkStart w:id="134" w:name="_Toc22917"/>
            <w:bookmarkStart w:id="135" w:name="_Toc27442"/>
            <w:bookmarkStart w:id="136" w:name="_Toc8312"/>
            <w:bookmarkStart w:id="137" w:name="_Toc21809"/>
            <w:bookmarkStart w:id="138" w:name="_Toc32531"/>
            <w:bookmarkStart w:id="139" w:name="_Toc8490"/>
            <w:bookmarkStart w:id="140" w:name="_Toc7333"/>
            <w:bookmarkStart w:id="141" w:name="_Toc19251"/>
            <w:r>
              <w:rPr>
                <w:rFonts w:hint="eastAsia" w:ascii="宋体" w:hAnsi="宋体" w:eastAsia="宋体" w:cs="Times New Roman"/>
                <w:color w:val="auto"/>
                <w:sz w:val="21"/>
                <w:szCs w:val="21"/>
                <w:highlight w:val="none"/>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2" w:name="_Toc1330"/>
            <w:bookmarkStart w:id="143" w:name="_Toc17296"/>
            <w:bookmarkStart w:id="144" w:name="_Toc3701"/>
            <w:bookmarkStart w:id="145" w:name="_Toc27185"/>
            <w:bookmarkStart w:id="146" w:name="_Toc20820"/>
            <w:bookmarkStart w:id="147" w:name="_Toc20139"/>
            <w:bookmarkStart w:id="148" w:name="_Toc17642"/>
            <w:bookmarkStart w:id="149" w:name="_Toc5563"/>
            <w:bookmarkStart w:id="150" w:name="_Toc1912"/>
            <w:bookmarkStart w:id="151" w:name="_Toc5992"/>
            <w:r>
              <w:rPr>
                <w:rFonts w:hint="eastAsia" w:ascii="宋体" w:hAnsi="宋体" w:eastAsia="宋体" w:cs="Times New Roman"/>
                <w:color w:val="auto"/>
                <w:sz w:val="21"/>
                <w:szCs w:val="21"/>
                <w:highlight w:val="none"/>
              </w:rPr>
              <w:t>页码范围</w:t>
            </w:r>
            <w:bookmarkEnd w:id="142"/>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7"/>
        <w:spacing w:after="0" w:line="360" w:lineRule="auto"/>
        <w:rPr>
          <w:rFonts w:ascii="宋体" w:hAnsi="宋体" w:eastAsia="宋体"/>
          <w:color w:val="auto"/>
          <w:sz w:val="21"/>
          <w:szCs w:val="21"/>
          <w:highlight w:val="none"/>
        </w:rPr>
      </w:pPr>
    </w:p>
    <w:p>
      <w:pPr>
        <w:pStyle w:val="27"/>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7"/>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7"/>
        <w:numPr>
          <w:ilvl w:val="0"/>
          <w:numId w:val="13"/>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7"/>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7"/>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7"/>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52" w:name="_Toc27674"/>
      <w:r>
        <w:rPr>
          <w:rFonts w:hint="eastAsia" w:ascii="宋体" w:hAnsi="宋体" w:eastAsia="宋体"/>
          <w:color w:val="auto"/>
          <w:sz w:val="21"/>
          <w:szCs w:val="21"/>
          <w:highlight w:val="none"/>
        </w:rPr>
        <w:t>附件13.业绩表</w:t>
      </w:r>
      <w:bookmarkEnd w:id="152"/>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7"/>
        <w:spacing w:after="0"/>
        <w:rPr>
          <w:rFonts w:ascii="宋体" w:hAnsi="宋体" w:eastAsia="宋体"/>
          <w:color w:val="auto"/>
          <w:sz w:val="21"/>
          <w:szCs w:val="21"/>
          <w:highlight w:val="none"/>
        </w:rPr>
      </w:pPr>
    </w:p>
    <w:p>
      <w:pPr>
        <w:pStyle w:val="27"/>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7"/>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7"/>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7"/>
        <w:numPr>
          <w:ilvl w:val="0"/>
          <w:numId w:val="14"/>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3" w:name="_Toc7860"/>
      <w:r>
        <w:rPr>
          <w:rFonts w:hint="eastAsia" w:ascii="宋体" w:hAnsi="宋体" w:eastAsia="宋体"/>
          <w:color w:val="auto"/>
          <w:sz w:val="21"/>
          <w:szCs w:val="21"/>
          <w:highlight w:val="none"/>
        </w:rPr>
        <w:t>附件14. 项目实施方案格式</w:t>
      </w:r>
      <w:bookmarkEnd w:id="153"/>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4" w:name="_Toc8596"/>
      <w:r>
        <w:rPr>
          <w:rFonts w:hint="eastAsia" w:ascii="宋体" w:hAnsi="宋体" w:eastAsia="宋体"/>
          <w:color w:val="auto"/>
          <w:sz w:val="21"/>
          <w:szCs w:val="21"/>
          <w:highlight w:val="none"/>
        </w:rPr>
        <w:t>附件15. 实施本项目的有关人员资料表格式</w:t>
      </w:r>
      <w:bookmarkEnd w:id="154"/>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7"/>
        <w:numPr>
          <w:ilvl w:val="0"/>
          <w:numId w:val="1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7"/>
        <w:numPr>
          <w:ilvl w:val="0"/>
          <w:numId w:val="15"/>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7"/>
        <w:numPr>
          <w:ilvl w:val="0"/>
          <w:numId w:val="15"/>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5" w:name="_Toc21598"/>
      <w:r>
        <w:rPr>
          <w:rFonts w:hint="eastAsia" w:ascii="宋体" w:hAnsi="宋体" w:eastAsia="宋体"/>
          <w:color w:val="auto"/>
          <w:sz w:val="21"/>
          <w:szCs w:val="21"/>
          <w:highlight w:val="none"/>
        </w:rPr>
        <w:t>附件16.投标货物说明一览表格式</w:t>
      </w:r>
      <w:bookmarkEnd w:id="155"/>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7"/>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7"/>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7"/>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6" w:name="_Toc10094"/>
      <w:bookmarkStart w:id="157" w:name="_Toc21223"/>
      <w:bookmarkStart w:id="158" w:name="_Toc417907703"/>
      <w:r>
        <w:rPr>
          <w:rFonts w:hint="eastAsia" w:ascii="宋体" w:hAnsi="宋体" w:eastAsia="宋体"/>
          <w:color w:val="auto"/>
          <w:sz w:val="21"/>
          <w:szCs w:val="21"/>
          <w:highlight w:val="none"/>
        </w:rPr>
        <w:t>附件17.在经营活动中没有重大违法记录的书面声明格式</w:t>
      </w:r>
      <w:bookmarkEnd w:id="15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7"/>
      <w:bookmarkEnd w:id="158"/>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4"/>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4"/>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9" w:name="_Toc28081"/>
      <w:r>
        <w:rPr>
          <w:rFonts w:hint="eastAsia" w:ascii="宋体" w:hAnsi="宋体" w:eastAsia="宋体"/>
          <w:color w:val="auto"/>
          <w:sz w:val="21"/>
          <w:szCs w:val="21"/>
          <w:highlight w:val="none"/>
        </w:rPr>
        <w:t>附件19.《残疾人福利性单位声明函》（残疾人福利性单位适用）</w:t>
      </w:r>
      <w:bookmarkEnd w:id="159"/>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0" w:name="_Toc22970"/>
      <w:bookmarkStart w:id="161" w:name="_Toc20910"/>
      <w:bookmarkStart w:id="162" w:name="_Toc30277"/>
      <w:bookmarkStart w:id="163" w:name="_Toc509927455"/>
      <w:bookmarkStart w:id="164" w:name="_Toc508958703"/>
      <w:bookmarkStart w:id="165" w:name="_Toc30247"/>
      <w:bookmarkStart w:id="166" w:name="_Toc508960153"/>
      <w:bookmarkStart w:id="167" w:name="_Toc17761"/>
      <w:bookmarkStart w:id="168" w:name="_Toc509844825"/>
      <w:bookmarkStart w:id="169" w:name="_Toc508898066"/>
      <w:bookmarkStart w:id="170" w:name="_Toc509479530"/>
      <w:bookmarkStart w:id="171" w:name="_Toc51017169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2" w:name="_Toc508898067"/>
      <w:bookmarkStart w:id="173" w:name="_Toc508960154"/>
      <w:bookmarkStart w:id="174" w:name="_Toc31520"/>
      <w:bookmarkStart w:id="175" w:name="_Toc28527"/>
      <w:bookmarkStart w:id="176" w:name="_Toc509927456"/>
      <w:bookmarkStart w:id="177" w:name="_Toc21053"/>
      <w:bookmarkStart w:id="178" w:name="_Toc508958704"/>
      <w:bookmarkStart w:id="179" w:name="_Toc510171694"/>
      <w:bookmarkStart w:id="180" w:name="_Toc509844826"/>
      <w:bookmarkStart w:id="181" w:name="_Toc5447"/>
      <w:bookmarkStart w:id="182" w:name="_Toc26216"/>
      <w:bookmarkStart w:id="183" w:name="_Toc509479531"/>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color w:val="auto"/>
          <w:sz w:val="21"/>
          <w:szCs w:val="21"/>
          <w:highlight w:val="none"/>
        </w:rPr>
      </w:pPr>
      <w:bookmarkStart w:id="184" w:name="_Toc24848"/>
      <w:bookmarkStart w:id="185" w:name="_Toc28626"/>
      <w:bookmarkStart w:id="186" w:name="_Toc509479532"/>
      <w:bookmarkStart w:id="187" w:name="_Toc510171695"/>
      <w:bookmarkStart w:id="188" w:name="_Toc9148"/>
      <w:bookmarkStart w:id="189" w:name="_Toc509927457"/>
      <w:bookmarkStart w:id="190" w:name="_Toc508960155"/>
      <w:bookmarkStart w:id="191" w:name="_Toc508898068"/>
      <w:bookmarkStart w:id="192" w:name="_Toc28126"/>
      <w:bookmarkStart w:id="193" w:name="_Toc509844827"/>
      <w:bookmarkStart w:id="194" w:name="_Toc508958705"/>
      <w:bookmarkStart w:id="195" w:name="_Toc14653"/>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color w:val="auto"/>
          <w:sz w:val="21"/>
          <w:szCs w:val="21"/>
          <w:highlight w:val="none"/>
        </w:rPr>
      </w:pPr>
      <w:bookmarkStart w:id="196" w:name="_Toc7858"/>
      <w:bookmarkStart w:id="197" w:name="_Toc508898069"/>
      <w:bookmarkStart w:id="198" w:name="_Toc28044"/>
      <w:bookmarkStart w:id="199" w:name="_Toc508960156"/>
      <w:bookmarkStart w:id="200" w:name="_Toc509927458"/>
      <w:bookmarkStart w:id="201" w:name="_Toc508958706"/>
      <w:bookmarkStart w:id="202" w:name="_Toc9837"/>
      <w:bookmarkStart w:id="203" w:name="_Toc28686"/>
      <w:bookmarkStart w:id="204" w:name="_Toc510171696"/>
      <w:bookmarkStart w:id="205" w:name="_Toc509844828"/>
      <w:bookmarkStart w:id="206" w:name="_Toc509479533"/>
      <w:bookmarkStart w:id="207" w:name="_Toc22981"/>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ascii="宋体" w:hAnsi="宋体" w:eastAsia="宋体"/>
          <w:color w:val="auto"/>
          <w:sz w:val="21"/>
          <w:szCs w:val="21"/>
          <w:highlight w:val="none"/>
        </w:rPr>
      </w:pPr>
      <w:bookmarkStart w:id="208" w:name="_Toc508960157"/>
      <w:bookmarkStart w:id="209" w:name="_Toc509927459"/>
      <w:bookmarkStart w:id="210" w:name="_Toc510171697"/>
      <w:bookmarkStart w:id="211" w:name="_Toc508958707"/>
      <w:bookmarkStart w:id="212" w:name="_Toc509479534"/>
      <w:bookmarkStart w:id="213" w:name="_Toc508898070"/>
      <w:bookmarkStart w:id="214" w:name="_Toc509844829"/>
      <w:bookmarkStart w:id="215" w:name="_Toc5289"/>
      <w:bookmarkStart w:id="216" w:name="_Toc18843"/>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17" w:name="_Toc25634"/>
      <w:r>
        <w:rPr>
          <w:rFonts w:hint="eastAsia" w:ascii="宋体" w:hAnsi="宋体" w:eastAsia="宋体"/>
          <w:color w:val="auto"/>
          <w:sz w:val="21"/>
          <w:szCs w:val="21"/>
          <w:highlight w:val="none"/>
        </w:rPr>
        <w:t>附件20. 投标保证金汇入情况说明格式</w:t>
      </w:r>
      <w:bookmarkEnd w:id="21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18" w:name="_Toc4363"/>
      <w:r>
        <w:rPr>
          <w:rFonts w:hint="eastAsia" w:ascii="宋体" w:hAnsi="宋体" w:eastAsia="宋体"/>
          <w:color w:val="auto"/>
          <w:sz w:val="21"/>
          <w:szCs w:val="21"/>
          <w:highlight w:val="none"/>
        </w:rPr>
        <w:t>附件21.政府采购投标担保函</w:t>
      </w:r>
      <w:bookmarkEnd w:id="21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9" w:name="_Toc27534"/>
      <w:r>
        <w:rPr>
          <w:rStyle w:val="28"/>
          <w:rFonts w:hint="eastAsia" w:ascii="宋体" w:hAnsi="宋体" w:eastAsia="宋体" w:cs="宋体"/>
          <w:color w:val="auto"/>
          <w:sz w:val="21"/>
          <w:szCs w:val="21"/>
          <w:highlight w:val="none"/>
        </w:rPr>
        <w:t>附件22.政府采购履约担保函</w:t>
      </w:r>
      <w:bookmarkEnd w:id="219"/>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4"/>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6"/>
        <w:spacing w:before="0" w:after="0" w:line="240" w:lineRule="auto"/>
        <w:rPr>
          <w:rFonts w:ascii="宋体" w:hAnsi="宋体" w:eastAsia="宋体" w:cs="宋体"/>
          <w:color w:val="auto"/>
          <w:sz w:val="21"/>
          <w:szCs w:val="21"/>
          <w:highlight w:val="none"/>
        </w:rPr>
      </w:pPr>
      <w:bookmarkStart w:id="220" w:name="_Toc17023"/>
      <w:r>
        <w:rPr>
          <w:rFonts w:hint="eastAsia" w:ascii="宋体" w:hAnsi="宋体" w:eastAsia="宋体" w:cs="宋体"/>
          <w:color w:val="auto"/>
          <w:sz w:val="21"/>
          <w:szCs w:val="21"/>
          <w:highlight w:val="none"/>
        </w:rPr>
        <w:t>附件23.获取招标文件登记表</w:t>
      </w:r>
      <w:bookmarkEnd w:id="220"/>
    </w:p>
    <w:p>
      <w:pPr>
        <w:pStyle w:val="4"/>
        <w:spacing w:before="0" w:after="0" w:line="240" w:lineRule="auto"/>
        <w:jc w:val="center"/>
        <w:rPr>
          <w:rFonts w:ascii="黑体" w:hAnsi="宋体"/>
          <w:color w:val="auto"/>
          <w:sz w:val="44"/>
          <w:szCs w:val="44"/>
          <w:highlight w:val="none"/>
        </w:rPr>
      </w:pPr>
      <w:bookmarkStart w:id="221"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1"/>
    </w:p>
    <w:tbl>
      <w:tblPr>
        <w:tblStyle w:val="1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22" w:name="_Toc11182"/>
      <w:r>
        <w:rPr>
          <w:rFonts w:hint="eastAsia" w:ascii="宋体" w:hAnsi="宋体" w:eastAsia="宋体" w:cs="宋体"/>
          <w:color w:val="auto"/>
          <w:sz w:val="21"/>
          <w:szCs w:val="21"/>
          <w:highlight w:val="none"/>
        </w:rPr>
        <w:t>附件 24.质疑函范本</w:t>
      </w:r>
      <w:bookmarkEnd w:id="222"/>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7" w:type="first"/>
      <w:headerReference r:id="rId5" w:type="default"/>
      <w:footerReference r:id="rId6"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5"/>
        <w:snapToGrid w:val="0"/>
        <w:rPr>
          <w:rFonts w:hint="eastAsia" w:eastAsia="微软雅黑"/>
          <w:lang w:eastAsia="zh-CN"/>
        </w:rPr>
      </w:pPr>
      <w:r>
        <w:rPr>
          <w:rStyle w:val="24"/>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4"/>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AEB66B70"/>
    <w:multiLevelType w:val="singleLevel"/>
    <w:tmpl w:val="AEB66B70"/>
    <w:lvl w:ilvl="0" w:tentative="0">
      <w:start w:val="1"/>
      <w:numFmt w:val="decimal"/>
      <w:lvlText w:val="%1."/>
      <w:lvlJc w:val="left"/>
      <w:pPr>
        <w:tabs>
          <w:tab w:val="left" w:pos="312"/>
        </w:tabs>
      </w:pPr>
    </w:lvl>
  </w:abstractNum>
  <w:abstractNum w:abstractNumId="2">
    <w:nsid w:val="BAA12ADA"/>
    <w:multiLevelType w:val="singleLevel"/>
    <w:tmpl w:val="BAA12ADA"/>
    <w:lvl w:ilvl="0" w:tentative="0">
      <w:start w:val="1"/>
      <w:numFmt w:val="decimal"/>
      <w:suff w:val="nothing"/>
      <w:lvlText w:val="（%1）"/>
      <w:lvlJc w:val="left"/>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E09EF6E1"/>
    <w:multiLevelType w:val="singleLevel"/>
    <w:tmpl w:val="E09EF6E1"/>
    <w:lvl w:ilvl="0" w:tentative="0">
      <w:start w:val="1"/>
      <w:numFmt w:val="decimal"/>
      <w:suff w:val="nothing"/>
      <w:lvlText w:val="（%1）"/>
      <w:lvlJc w:val="left"/>
    </w:lvl>
  </w:abstractNum>
  <w:abstractNum w:abstractNumId="6">
    <w:nsid w:val="F73DC5D7"/>
    <w:multiLevelType w:val="singleLevel"/>
    <w:tmpl w:val="F73DC5D7"/>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3F8A5608"/>
    <w:multiLevelType w:val="multilevel"/>
    <w:tmpl w:val="3F8A5608"/>
    <w:lvl w:ilvl="0" w:tentative="0">
      <w:start w:val="1"/>
      <w:numFmt w:val="decimal"/>
      <w:pStyle w:val="3"/>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A1DF05"/>
    <w:multiLevelType w:val="singleLevel"/>
    <w:tmpl w:val="67A1DF05"/>
    <w:lvl w:ilvl="0" w:tentative="0">
      <w:start w:val="1"/>
      <w:numFmt w:val="decimal"/>
      <w:suff w:val="nothing"/>
      <w:lvlText w:val="%1、"/>
      <w:lvlJc w:val="left"/>
    </w:lvl>
  </w:abstractNum>
  <w:num w:numId="1">
    <w:abstractNumId w:val="11"/>
  </w:num>
  <w:num w:numId="2">
    <w:abstractNumId w:val="1"/>
  </w:num>
  <w:num w:numId="3">
    <w:abstractNumId w:val="14"/>
  </w:num>
  <w:num w:numId="4">
    <w:abstractNumId w:val="12"/>
  </w:num>
  <w:num w:numId="5">
    <w:abstractNumId w:val="8"/>
  </w:num>
  <w:num w:numId="6">
    <w:abstractNumId w:val="10"/>
  </w:num>
  <w:num w:numId="7">
    <w:abstractNumId w:val="9"/>
  </w:num>
  <w:num w:numId="8">
    <w:abstractNumId w:val="5"/>
  </w:num>
  <w:num w:numId="9">
    <w:abstractNumId w:val="6"/>
  </w:num>
  <w:num w:numId="10">
    <w:abstractNumId w:val="2"/>
  </w:num>
  <w:num w:numId="11">
    <w:abstractNumId w:val="3"/>
  </w:num>
  <w:num w:numId="12">
    <w:abstractNumId w:val="7"/>
  </w:num>
  <w:num w:numId="13">
    <w:abstractNumId w:val="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A2053"/>
    <w:rsid w:val="00FC7B53"/>
    <w:rsid w:val="00FD48CC"/>
    <w:rsid w:val="00FE62D1"/>
    <w:rsid w:val="00FF26BF"/>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3FE726A"/>
    <w:rsid w:val="04DF1036"/>
    <w:rsid w:val="05A97DEC"/>
    <w:rsid w:val="05C81981"/>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A534D5"/>
    <w:rsid w:val="0AA650EB"/>
    <w:rsid w:val="0AB8066A"/>
    <w:rsid w:val="0AF47339"/>
    <w:rsid w:val="0B22594B"/>
    <w:rsid w:val="0BAD51C5"/>
    <w:rsid w:val="0BC044BE"/>
    <w:rsid w:val="0BDF26F7"/>
    <w:rsid w:val="0C264099"/>
    <w:rsid w:val="0C2B4952"/>
    <w:rsid w:val="0C7B2220"/>
    <w:rsid w:val="0D463779"/>
    <w:rsid w:val="0D890E47"/>
    <w:rsid w:val="0DC64A00"/>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B16AC1"/>
    <w:rsid w:val="1B034A52"/>
    <w:rsid w:val="1B1F34AD"/>
    <w:rsid w:val="1B8D5DC6"/>
    <w:rsid w:val="1BFE1D3B"/>
    <w:rsid w:val="1C2775EC"/>
    <w:rsid w:val="1C750ECE"/>
    <w:rsid w:val="1D033434"/>
    <w:rsid w:val="1D0836D7"/>
    <w:rsid w:val="1D196139"/>
    <w:rsid w:val="1D3C5CD9"/>
    <w:rsid w:val="1DB85900"/>
    <w:rsid w:val="1E010AF7"/>
    <w:rsid w:val="1E0178EB"/>
    <w:rsid w:val="1E301173"/>
    <w:rsid w:val="1E38333E"/>
    <w:rsid w:val="1EA40BB4"/>
    <w:rsid w:val="1F1075FC"/>
    <w:rsid w:val="1F43381C"/>
    <w:rsid w:val="1FA4148D"/>
    <w:rsid w:val="20121621"/>
    <w:rsid w:val="201A421D"/>
    <w:rsid w:val="204E554F"/>
    <w:rsid w:val="20525DBC"/>
    <w:rsid w:val="20590035"/>
    <w:rsid w:val="20FC799E"/>
    <w:rsid w:val="22154DDD"/>
    <w:rsid w:val="22213E42"/>
    <w:rsid w:val="22336873"/>
    <w:rsid w:val="238C2182"/>
    <w:rsid w:val="239015D1"/>
    <w:rsid w:val="23BB4E7D"/>
    <w:rsid w:val="23C172D6"/>
    <w:rsid w:val="23F04F64"/>
    <w:rsid w:val="24814CBE"/>
    <w:rsid w:val="24AC168B"/>
    <w:rsid w:val="258C3BEC"/>
    <w:rsid w:val="260E3862"/>
    <w:rsid w:val="262569FC"/>
    <w:rsid w:val="26344C98"/>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7E4054"/>
    <w:rsid w:val="2BDA7133"/>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ED6B08"/>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22D25"/>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82D31EA"/>
    <w:rsid w:val="485970A0"/>
    <w:rsid w:val="48A41906"/>
    <w:rsid w:val="48B65C71"/>
    <w:rsid w:val="48F303D7"/>
    <w:rsid w:val="492837FF"/>
    <w:rsid w:val="492E6A57"/>
    <w:rsid w:val="4A0030EE"/>
    <w:rsid w:val="4AC36065"/>
    <w:rsid w:val="4B7501F5"/>
    <w:rsid w:val="4B8C2DEB"/>
    <w:rsid w:val="4BFA3C9F"/>
    <w:rsid w:val="4C0E3379"/>
    <w:rsid w:val="4C107F48"/>
    <w:rsid w:val="4C3277BC"/>
    <w:rsid w:val="4CC353EB"/>
    <w:rsid w:val="4CCB14AE"/>
    <w:rsid w:val="4CF36F3C"/>
    <w:rsid w:val="4D4F67BA"/>
    <w:rsid w:val="4D603399"/>
    <w:rsid w:val="4D867EE1"/>
    <w:rsid w:val="4DBC4C65"/>
    <w:rsid w:val="4DF6568D"/>
    <w:rsid w:val="4E550010"/>
    <w:rsid w:val="4E5F14CB"/>
    <w:rsid w:val="4F3705F8"/>
    <w:rsid w:val="4FAC3540"/>
    <w:rsid w:val="4FBB12F4"/>
    <w:rsid w:val="4FCF1583"/>
    <w:rsid w:val="4FFA7625"/>
    <w:rsid w:val="501B0BF9"/>
    <w:rsid w:val="50206043"/>
    <w:rsid w:val="507D2599"/>
    <w:rsid w:val="5096229D"/>
    <w:rsid w:val="50DC4184"/>
    <w:rsid w:val="51475B39"/>
    <w:rsid w:val="514C3EA7"/>
    <w:rsid w:val="519849E5"/>
    <w:rsid w:val="51B36892"/>
    <w:rsid w:val="52506DA7"/>
    <w:rsid w:val="533B2B84"/>
    <w:rsid w:val="537A7243"/>
    <w:rsid w:val="539C1B81"/>
    <w:rsid w:val="53AE750F"/>
    <w:rsid w:val="53F263AD"/>
    <w:rsid w:val="549A6BFA"/>
    <w:rsid w:val="54E72921"/>
    <w:rsid w:val="554A5789"/>
    <w:rsid w:val="55806F07"/>
    <w:rsid w:val="55FA2961"/>
    <w:rsid w:val="565E7F4F"/>
    <w:rsid w:val="56775789"/>
    <w:rsid w:val="56857D06"/>
    <w:rsid w:val="56914056"/>
    <w:rsid w:val="56DB613D"/>
    <w:rsid w:val="57FC2169"/>
    <w:rsid w:val="58096275"/>
    <w:rsid w:val="581C04F1"/>
    <w:rsid w:val="582E6EF7"/>
    <w:rsid w:val="58434392"/>
    <w:rsid w:val="584A5D75"/>
    <w:rsid w:val="584E30E6"/>
    <w:rsid w:val="59014D02"/>
    <w:rsid w:val="597B384D"/>
    <w:rsid w:val="59996DA8"/>
    <w:rsid w:val="59C30F1B"/>
    <w:rsid w:val="5A0D5854"/>
    <w:rsid w:val="5A20156F"/>
    <w:rsid w:val="5AC7121C"/>
    <w:rsid w:val="5AD90B8D"/>
    <w:rsid w:val="5AE12927"/>
    <w:rsid w:val="5B2243E9"/>
    <w:rsid w:val="5B475775"/>
    <w:rsid w:val="5B4E1A44"/>
    <w:rsid w:val="5B666742"/>
    <w:rsid w:val="5B873201"/>
    <w:rsid w:val="5B89551D"/>
    <w:rsid w:val="5B967767"/>
    <w:rsid w:val="5B9E55DE"/>
    <w:rsid w:val="5C286807"/>
    <w:rsid w:val="5C446BC8"/>
    <w:rsid w:val="5C4C687B"/>
    <w:rsid w:val="5C7C2768"/>
    <w:rsid w:val="5CB23AE6"/>
    <w:rsid w:val="5CF55792"/>
    <w:rsid w:val="5CFD533A"/>
    <w:rsid w:val="5D021FC8"/>
    <w:rsid w:val="5D893B14"/>
    <w:rsid w:val="5E2B7D62"/>
    <w:rsid w:val="5EA06921"/>
    <w:rsid w:val="5ED5006A"/>
    <w:rsid w:val="5F576E4B"/>
    <w:rsid w:val="5F7A2C30"/>
    <w:rsid w:val="5FBE370A"/>
    <w:rsid w:val="60292845"/>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B61EC"/>
    <w:rsid w:val="6DBB6D9F"/>
    <w:rsid w:val="6DD049FF"/>
    <w:rsid w:val="6E09491E"/>
    <w:rsid w:val="6E0D3655"/>
    <w:rsid w:val="6E5F4465"/>
    <w:rsid w:val="6E8C54DA"/>
    <w:rsid w:val="6EF11E03"/>
    <w:rsid w:val="6F111C62"/>
    <w:rsid w:val="6F2176E3"/>
    <w:rsid w:val="6F2176E5"/>
    <w:rsid w:val="6F3053CA"/>
    <w:rsid w:val="6F592303"/>
    <w:rsid w:val="6F5F5B74"/>
    <w:rsid w:val="6F9B1C65"/>
    <w:rsid w:val="6FD47A25"/>
    <w:rsid w:val="6FFB146E"/>
    <w:rsid w:val="701A5C74"/>
    <w:rsid w:val="706516C3"/>
    <w:rsid w:val="70896E68"/>
    <w:rsid w:val="715B60E9"/>
    <w:rsid w:val="71EA1FED"/>
    <w:rsid w:val="72C16204"/>
    <w:rsid w:val="730313F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316698"/>
    <w:rsid w:val="78A50513"/>
    <w:rsid w:val="796518DD"/>
    <w:rsid w:val="796E0C55"/>
    <w:rsid w:val="79A76D17"/>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qFormat/>
    <w:uiPriority w:val="0"/>
    <w:pPr>
      <w:numPr>
        <w:ilvl w:val="0"/>
        <w:numId w:val="1"/>
      </w:numPr>
      <w:tabs>
        <w:tab w:val="clear" w:pos="420"/>
      </w:tabs>
      <w:spacing w:line="360" w:lineRule="auto"/>
      <w:ind w:left="0" w:firstLine="420" w:firstLineChars="100"/>
    </w:pPr>
    <w:rPr>
      <w:rFonts w:ascii="Calibri" w:hAnsi="Calibri"/>
    </w:rPr>
  </w:style>
  <w:style w:type="paragraph" w:styleId="7">
    <w:name w:val="annotation text"/>
    <w:basedOn w:val="1"/>
    <w:semiHidden/>
    <w:unhideWhenUsed/>
    <w:qFormat/>
    <w:uiPriority w:val="99"/>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39"/>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2"/>
    <w:semiHidden/>
    <w:unhideWhenUsed/>
    <w:qFormat/>
    <w:uiPriority w:val="99"/>
    <w:pPr>
      <w:spacing w:after="0"/>
    </w:pPr>
    <w:rPr>
      <w:sz w:val="18"/>
      <w:szCs w:val="18"/>
    </w:rPr>
  </w:style>
  <w:style w:type="paragraph" w:styleId="11">
    <w:name w:val="footer"/>
    <w:basedOn w:val="1"/>
    <w:link w:val="41"/>
    <w:unhideWhenUsed/>
    <w:qFormat/>
    <w:uiPriority w:val="99"/>
    <w:pPr>
      <w:tabs>
        <w:tab w:val="center" w:pos="4153"/>
        <w:tab w:val="right" w:pos="8306"/>
      </w:tabs>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4"/>
    <w:qFormat/>
    <w:uiPriority w:val="0"/>
    <w:pPr>
      <w:widowControl w:val="0"/>
      <w:adjustRightInd/>
      <w:snapToGrid/>
      <w:spacing w:after="0"/>
      <w:jc w:val="both"/>
    </w:pPr>
    <w:rPr>
      <w:rFonts w:eastAsia="宋体" w:asciiTheme="minorHAnsi" w:hAnsiTheme="minorHAnsi"/>
      <w:kern w:val="2"/>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20"/>
    <w:rPr>
      <w:i/>
      <w:iCs/>
    </w:rPr>
  </w:style>
  <w:style w:type="character" w:styleId="22">
    <w:name w:val="Hyperlink"/>
    <w:qFormat/>
    <w:uiPriority w:val="99"/>
    <w:rPr>
      <w:rFonts w:hint="eastAsia" w:ascii="宋体" w:hAnsi="宋体" w:eastAsia="宋体" w:cs="宋体"/>
      <w:b/>
      <w:color w:val="0031C1"/>
      <w:kern w:val="0"/>
      <w:sz w:val="18"/>
      <w:szCs w:val="18"/>
      <w:u w:val="none"/>
      <w:lang w:eastAsia="en-US"/>
    </w:rPr>
  </w:style>
  <w:style w:type="character" w:styleId="23">
    <w:name w:val="annotation reference"/>
    <w:basedOn w:val="20"/>
    <w:semiHidden/>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标题 2 Char"/>
    <w:basedOn w:val="20"/>
    <w:link w:val="4"/>
    <w:qFormat/>
    <w:uiPriority w:val="9"/>
    <w:rPr>
      <w:rFonts w:asciiTheme="majorHAnsi" w:hAnsiTheme="majorHAnsi" w:eastAsiaTheme="majorEastAsia" w:cstheme="majorBidi"/>
      <w:b/>
      <w:bCs/>
      <w:sz w:val="32"/>
      <w:szCs w:val="32"/>
    </w:rPr>
  </w:style>
  <w:style w:type="character" w:customStyle="1" w:styleId="26">
    <w:name w:val="标题 3 Char"/>
    <w:basedOn w:val="20"/>
    <w:link w:val="5"/>
    <w:qFormat/>
    <w:uiPriority w:val="9"/>
    <w:rPr>
      <w:rFonts w:ascii="Tahoma" w:hAnsi="Tahoma"/>
      <w:b/>
      <w:bCs/>
      <w:sz w:val="32"/>
      <w:szCs w:val="32"/>
    </w:rPr>
  </w:style>
  <w:style w:type="paragraph" w:styleId="27">
    <w:name w:val="List Paragraph"/>
    <w:basedOn w:val="1"/>
    <w:qFormat/>
    <w:uiPriority w:val="34"/>
    <w:pPr>
      <w:ind w:firstLine="420" w:firstLineChars="200"/>
    </w:pPr>
  </w:style>
  <w:style w:type="character" w:customStyle="1" w:styleId="28">
    <w:name w:val="标题 4 Char"/>
    <w:basedOn w:val="20"/>
    <w:link w:val="6"/>
    <w:qFormat/>
    <w:uiPriority w:val="9"/>
    <w:rPr>
      <w:rFonts w:asciiTheme="majorHAnsi" w:hAnsiTheme="majorHAnsi" w:eastAsiaTheme="majorEastAsia" w:cstheme="majorBidi"/>
      <w:b/>
      <w:bCs/>
      <w:sz w:val="28"/>
      <w:szCs w:val="28"/>
    </w:rPr>
  </w:style>
  <w:style w:type="character" w:customStyle="1" w:styleId="29">
    <w:name w:val="正文缩进2格 Char"/>
    <w:link w:val="30"/>
    <w:qFormat/>
    <w:uiPriority w:val="0"/>
    <w:rPr>
      <w:rFonts w:ascii="仿宋_GB2312" w:hAnsi="宋体" w:eastAsia="仿宋_GB2312"/>
      <w:kern w:val="2"/>
      <w:sz w:val="31"/>
    </w:rPr>
  </w:style>
  <w:style w:type="paragraph" w:customStyle="1" w:styleId="30">
    <w:name w:val="正文缩进2格"/>
    <w:basedOn w:val="1"/>
    <w:link w:val="29"/>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1">
    <w:name w:val="正文缩进4格"/>
    <w:basedOn w:val="30"/>
    <w:qFormat/>
    <w:uiPriority w:val="0"/>
    <w:pPr>
      <w:ind w:left="2" w:firstLine="538" w:firstLineChars="192"/>
    </w:pPr>
    <w:rPr>
      <w:color w:val="0000FF"/>
      <w:sz w:val="28"/>
    </w:rPr>
  </w:style>
  <w:style w:type="character" w:customStyle="1" w:styleId="32">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3">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4">
    <w:name w:val="标题1"/>
    <w:qFormat/>
    <w:uiPriority w:val="0"/>
    <w:rPr>
      <w:rFonts w:ascii="Times New Roman" w:hAnsi="Times New Roman" w:eastAsia="宋体" w:cs="Times New Roman"/>
      <w:b/>
      <w:kern w:val="0"/>
      <w:sz w:val="24"/>
      <w:szCs w:val="20"/>
      <w:lang w:eastAsia="en-US"/>
    </w:rPr>
  </w:style>
  <w:style w:type="character" w:customStyle="1" w:styleId="35">
    <w:name w:val="标题 3.1 Char"/>
    <w:link w:val="36"/>
    <w:qFormat/>
    <w:uiPriority w:val="0"/>
    <w:rPr>
      <w:rFonts w:ascii="宋体" w:hAnsi="宋体" w:eastAsia="宋体"/>
      <w:b/>
      <w:color w:val="FF0000"/>
      <w:kern w:val="2"/>
      <w:sz w:val="32"/>
    </w:rPr>
  </w:style>
  <w:style w:type="paragraph" w:customStyle="1" w:styleId="36">
    <w:name w:val="标题 3.1"/>
    <w:basedOn w:val="5"/>
    <w:link w:val="35"/>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7">
    <w:name w:val="样式 楷体_GB2312 小四"/>
    <w:qFormat/>
    <w:uiPriority w:val="0"/>
    <w:rPr>
      <w:rFonts w:ascii="楷体_GB2312" w:hAnsi="楷体_GB2312" w:eastAsia="仿宋_GB2312"/>
      <w:sz w:val="24"/>
    </w:rPr>
  </w:style>
  <w:style w:type="character" w:customStyle="1" w:styleId="38">
    <w:name w:val="纯文本 Char"/>
    <w:qFormat/>
    <w:uiPriority w:val="0"/>
    <w:rPr>
      <w:rFonts w:ascii="宋体" w:hAnsi="Courier New" w:eastAsia="宋体" w:cs="Times New Roman"/>
      <w:b/>
      <w:kern w:val="2"/>
      <w:sz w:val="21"/>
      <w:szCs w:val="20"/>
    </w:rPr>
  </w:style>
  <w:style w:type="character" w:customStyle="1" w:styleId="39">
    <w:name w:val="纯文本 Char1"/>
    <w:basedOn w:val="20"/>
    <w:link w:val="9"/>
    <w:semiHidden/>
    <w:qFormat/>
    <w:uiPriority w:val="99"/>
    <w:rPr>
      <w:rFonts w:ascii="宋体" w:hAnsi="Courier New" w:eastAsia="宋体" w:cs="Courier New"/>
      <w:sz w:val="21"/>
      <w:szCs w:val="21"/>
    </w:rPr>
  </w:style>
  <w:style w:type="character" w:customStyle="1" w:styleId="40">
    <w:name w:val="页眉 Char"/>
    <w:basedOn w:val="20"/>
    <w:link w:val="12"/>
    <w:qFormat/>
    <w:uiPriority w:val="99"/>
    <w:rPr>
      <w:rFonts w:ascii="Tahoma" w:hAnsi="Tahoma"/>
      <w:sz w:val="18"/>
      <w:szCs w:val="18"/>
    </w:rPr>
  </w:style>
  <w:style w:type="character" w:customStyle="1" w:styleId="41">
    <w:name w:val="页脚 Char"/>
    <w:basedOn w:val="20"/>
    <w:link w:val="11"/>
    <w:qFormat/>
    <w:uiPriority w:val="99"/>
    <w:rPr>
      <w:rFonts w:ascii="Tahoma" w:hAnsi="Tahoma"/>
      <w:sz w:val="18"/>
      <w:szCs w:val="18"/>
    </w:rPr>
  </w:style>
  <w:style w:type="character" w:customStyle="1" w:styleId="42">
    <w:name w:val="批注框文本 Char"/>
    <w:basedOn w:val="20"/>
    <w:link w:val="10"/>
    <w:semiHidden/>
    <w:qFormat/>
    <w:uiPriority w:val="99"/>
    <w:rPr>
      <w:rFonts w:ascii="Tahoma" w:hAnsi="Tahoma"/>
      <w:sz w:val="18"/>
      <w:szCs w:val="18"/>
    </w:rPr>
  </w:style>
  <w:style w:type="paragraph" w:customStyle="1" w:styleId="43">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4">
    <w:name w:val="普通(网站) Char"/>
    <w:link w:val="17"/>
    <w:qFormat/>
    <w:uiPriority w:val="0"/>
    <w:rPr>
      <w:rFonts w:eastAsia="宋体"/>
      <w:kern w:val="2"/>
      <w:sz w:val="24"/>
      <w:szCs w:val="24"/>
    </w:rPr>
  </w:style>
  <w:style w:type="paragraph" w:customStyle="1" w:styleId="45">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6">
    <w:name w:val="p141"/>
    <w:qFormat/>
    <w:uiPriority w:val="0"/>
    <w:rPr>
      <w:sz w:val="21"/>
      <w:szCs w:val="21"/>
    </w:rPr>
  </w:style>
  <w:style w:type="paragraph" w:customStyle="1" w:styleId="47">
    <w:name w:val="表格文字"/>
    <w:basedOn w:val="1"/>
    <w:qFormat/>
    <w:uiPriority w:val="0"/>
    <w:pPr>
      <w:spacing w:before="25" w:after="25"/>
    </w:pPr>
    <w:rPr>
      <w:bCs/>
      <w:spacing w:val="1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68</Pages>
  <Words>5566</Words>
  <Characters>31731</Characters>
  <Lines>264</Lines>
  <Paragraphs>74</Paragraphs>
  <TotalTime>61</TotalTime>
  <ScaleCrop>false</ScaleCrop>
  <LinksUpToDate>false</LinksUpToDate>
  <CharactersWithSpaces>37223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招标代理 王工</cp:lastModifiedBy>
  <cp:lastPrinted>2021-03-23T02:27:00Z</cp:lastPrinted>
  <dcterms:modified xsi:type="dcterms:W3CDTF">2021-03-23T06:36:09Z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BA84C6DE37A14FAD96C8CD146E7082A9</vt:lpwstr>
  </property>
</Properties>
</file>