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786630">
      <w:pPr>
        <w:spacing w:line="360" w:lineRule="auto"/>
        <w:ind w:firstLine="560"/>
        <w:rPr>
          <w:rFonts w:hint="eastAsia" w:ascii="宋体" w:hAnsi="宋体" w:cs="宋体"/>
          <w:color w:val="auto"/>
          <w:sz w:val="28"/>
          <w:szCs w:val="28"/>
          <w:highlight w:val="none"/>
        </w:rPr>
      </w:pPr>
    </w:p>
    <w:p w14:paraId="0DA1D1A5">
      <w:pPr>
        <w:spacing w:line="360" w:lineRule="auto"/>
        <w:ind w:firstLine="560"/>
        <w:rPr>
          <w:rFonts w:ascii="宋体" w:hAnsi="宋体" w:cs="宋体"/>
          <w:color w:val="auto"/>
          <w:sz w:val="28"/>
          <w:szCs w:val="28"/>
          <w:highlight w:val="none"/>
        </w:rPr>
      </w:pPr>
    </w:p>
    <w:p w14:paraId="3FEF0C28">
      <w:pPr>
        <w:spacing w:line="360" w:lineRule="auto"/>
        <w:ind w:firstLine="560"/>
        <w:rPr>
          <w:rFonts w:ascii="宋体" w:hAnsi="宋体" w:cs="宋体"/>
          <w:color w:val="auto"/>
          <w:sz w:val="28"/>
          <w:szCs w:val="28"/>
          <w:highlight w:val="none"/>
        </w:rPr>
      </w:pPr>
    </w:p>
    <w:p w14:paraId="01358F9F">
      <w:pPr>
        <w:spacing w:line="360" w:lineRule="auto"/>
        <w:ind w:firstLine="560"/>
        <w:jc w:val="left"/>
        <w:rPr>
          <w:rFonts w:ascii="宋体" w:hAnsi="宋体" w:cs="宋体"/>
          <w:color w:val="auto"/>
          <w:sz w:val="36"/>
          <w:szCs w:val="36"/>
          <w:highlight w:val="none"/>
        </w:rPr>
      </w:pPr>
    </w:p>
    <w:p w14:paraId="3A84AB86">
      <w:pPr>
        <w:jc w:val="center"/>
        <w:rPr>
          <w:rFonts w:hint="eastAsia" w:ascii="黑体" w:eastAsia="黑体"/>
          <w:color w:val="auto"/>
          <w:sz w:val="28"/>
          <w:szCs w:val="28"/>
          <w:highlight w:val="none"/>
          <w:lang w:eastAsia="zh-CN"/>
        </w:rPr>
      </w:pPr>
      <w:r>
        <w:rPr>
          <w:rFonts w:hint="eastAsia" w:ascii="黑体" w:eastAsia="黑体"/>
          <w:color w:val="auto"/>
          <w:sz w:val="36"/>
          <w:szCs w:val="36"/>
          <w:highlight w:val="none"/>
          <w:u w:val="single"/>
        </w:rPr>
        <w:t xml:space="preserve"> </w:t>
      </w:r>
      <w:r>
        <w:rPr>
          <w:rFonts w:hint="eastAsia" w:ascii="黑体" w:eastAsia="黑体"/>
          <w:color w:val="auto"/>
          <w:sz w:val="36"/>
          <w:szCs w:val="36"/>
          <w:highlight w:val="none"/>
          <w:u w:val="single"/>
          <w:lang w:eastAsia="zh-CN"/>
        </w:rPr>
        <w:t>织金高原泉水务有限公司35%股权、债权资产包整体转让中介服务采购项目</w:t>
      </w:r>
    </w:p>
    <w:p w14:paraId="6BDAE409">
      <w:pPr>
        <w:jc w:val="center"/>
        <w:rPr>
          <w:rFonts w:hint="eastAsia" w:ascii="黑体" w:eastAsia="黑体"/>
          <w:color w:val="auto"/>
          <w:sz w:val="28"/>
          <w:szCs w:val="28"/>
          <w:highlight w:val="none"/>
          <w:lang w:eastAsia="zh-CN"/>
        </w:rPr>
      </w:pPr>
      <w:r>
        <w:rPr>
          <w:rFonts w:hint="eastAsia" w:ascii="黑体" w:eastAsia="黑体"/>
          <w:color w:val="auto"/>
          <w:sz w:val="28"/>
          <w:szCs w:val="28"/>
          <w:highlight w:val="none"/>
        </w:rPr>
        <w:t>项目编号：</w:t>
      </w:r>
      <w:r>
        <w:rPr>
          <w:rFonts w:hint="eastAsia" w:ascii="黑体" w:eastAsia="黑体"/>
          <w:color w:val="auto"/>
          <w:sz w:val="28"/>
          <w:szCs w:val="28"/>
          <w:highlight w:val="none"/>
          <w:lang w:eastAsia="zh-CN"/>
        </w:rPr>
        <w:t>GDXW-ZJ-03-001-001（2026）</w:t>
      </w:r>
    </w:p>
    <w:p w14:paraId="39C044A5">
      <w:pPr>
        <w:rPr>
          <w:color w:val="auto"/>
          <w:sz w:val="28"/>
          <w:szCs w:val="28"/>
          <w:highlight w:val="none"/>
        </w:rPr>
      </w:pPr>
    </w:p>
    <w:p w14:paraId="409B0394">
      <w:pPr>
        <w:rPr>
          <w:color w:val="auto"/>
          <w:sz w:val="28"/>
          <w:szCs w:val="28"/>
          <w:highlight w:val="none"/>
        </w:rPr>
      </w:pPr>
    </w:p>
    <w:p w14:paraId="0D5FCA47">
      <w:pPr>
        <w:jc w:val="center"/>
        <w:rPr>
          <w:rFonts w:ascii="黑体" w:eastAsia="黑体"/>
          <w:color w:val="auto"/>
          <w:sz w:val="44"/>
          <w:szCs w:val="44"/>
          <w:highlight w:val="none"/>
        </w:rPr>
      </w:pPr>
      <w:r>
        <w:rPr>
          <w:rFonts w:hint="eastAsia" w:ascii="黑体" w:eastAsia="黑体"/>
          <w:color w:val="auto"/>
          <w:sz w:val="44"/>
          <w:szCs w:val="44"/>
          <w:highlight w:val="none"/>
        </w:rPr>
        <w:t>竞争性谈判文件</w:t>
      </w:r>
    </w:p>
    <w:p w14:paraId="05250774">
      <w:pPr>
        <w:spacing w:line="400" w:lineRule="exact"/>
        <w:rPr>
          <w:color w:val="auto"/>
          <w:highlight w:val="none"/>
        </w:rPr>
      </w:pPr>
    </w:p>
    <w:p w14:paraId="4CE5265B">
      <w:pPr>
        <w:spacing w:line="400" w:lineRule="exact"/>
        <w:rPr>
          <w:color w:val="auto"/>
          <w:highlight w:val="none"/>
        </w:rPr>
      </w:pPr>
    </w:p>
    <w:p w14:paraId="1AA64A10">
      <w:pPr>
        <w:spacing w:line="400" w:lineRule="exact"/>
        <w:rPr>
          <w:color w:val="auto"/>
          <w:highlight w:val="none"/>
        </w:rPr>
      </w:pPr>
    </w:p>
    <w:p w14:paraId="7C80EC9E">
      <w:pPr>
        <w:spacing w:line="400" w:lineRule="exact"/>
        <w:rPr>
          <w:color w:val="auto"/>
          <w:highlight w:val="none"/>
        </w:rPr>
      </w:pPr>
    </w:p>
    <w:p w14:paraId="3BDB5A93">
      <w:pPr>
        <w:spacing w:line="400" w:lineRule="exact"/>
        <w:rPr>
          <w:color w:val="auto"/>
          <w:highlight w:val="none"/>
        </w:rPr>
      </w:pPr>
    </w:p>
    <w:p w14:paraId="2D61E4E6">
      <w:pPr>
        <w:spacing w:line="400" w:lineRule="exact"/>
        <w:rPr>
          <w:color w:val="auto"/>
          <w:highlight w:val="none"/>
        </w:rPr>
      </w:pPr>
    </w:p>
    <w:p w14:paraId="483638E9">
      <w:pPr>
        <w:spacing w:line="400" w:lineRule="exact"/>
        <w:rPr>
          <w:color w:val="auto"/>
          <w:highlight w:val="none"/>
        </w:rPr>
      </w:pPr>
    </w:p>
    <w:p w14:paraId="0A3774DB">
      <w:pPr>
        <w:spacing w:line="400" w:lineRule="exact"/>
        <w:rPr>
          <w:color w:val="auto"/>
          <w:highlight w:val="none"/>
        </w:rPr>
      </w:pPr>
    </w:p>
    <w:p w14:paraId="6233CF8C">
      <w:pPr>
        <w:spacing w:line="400" w:lineRule="exact"/>
        <w:rPr>
          <w:color w:val="auto"/>
          <w:highlight w:val="none"/>
        </w:rPr>
      </w:pPr>
    </w:p>
    <w:p w14:paraId="4C0D5A2C">
      <w:pPr>
        <w:jc w:val="center"/>
        <w:rPr>
          <w:rFonts w:ascii="黑体" w:eastAsia="黑体"/>
          <w:color w:val="auto"/>
          <w:sz w:val="28"/>
          <w:szCs w:val="28"/>
          <w:highlight w:val="none"/>
        </w:rPr>
      </w:pPr>
      <w:r>
        <w:rPr>
          <w:rFonts w:hint="eastAsia" w:ascii="黑体" w:eastAsia="黑体"/>
          <w:color w:val="auto"/>
          <w:sz w:val="28"/>
          <w:szCs w:val="28"/>
          <w:highlight w:val="none"/>
        </w:rPr>
        <w:t>采购人：</w:t>
      </w:r>
      <w:r>
        <w:rPr>
          <w:rFonts w:hint="eastAsia" w:ascii="黑体" w:eastAsia="黑体"/>
          <w:color w:val="auto"/>
          <w:sz w:val="28"/>
          <w:szCs w:val="28"/>
          <w:highlight w:val="none"/>
          <w:u w:val="single"/>
        </w:rPr>
        <w:t xml:space="preserve"> 广东新网工程技术有限公司 </w:t>
      </w:r>
      <w:r>
        <w:rPr>
          <w:rFonts w:hint="eastAsia" w:ascii="黑体" w:eastAsia="黑体"/>
          <w:color w:val="auto"/>
          <w:sz w:val="28"/>
          <w:szCs w:val="28"/>
          <w:highlight w:val="none"/>
        </w:rPr>
        <w:t>（盖单位章）</w:t>
      </w:r>
    </w:p>
    <w:p w14:paraId="4273A7F2">
      <w:pPr>
        <w:jc w:val="center"/>
        <w:rPr>
          <w:rFonts w:ascii="黑体" w:eastAsia="黑体"/>
          <w:color w:val="auto"/>
          <w:sz w:val="28"/>
          <w:szCs w:val="28"/>
          <w:highlight w:val="none"/>
        </w:rPr>
      </w:pPr>
      <w:r>
        <w:rPr>
          <w:rFonts w:hint="eastAsia" w:ascii="黑体" w:eastAsia="黑体"/>
          <w:color w:val="auto"/>
          <w:sz w:val="28"/>
          <w:szCs w:val="28"/>
          <w:highlight w:val="none"/>
        </w:rPr>
        <w:t>采购代理机构：</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u w:val="single"/>
          <w:lang w:eastAsia="zh-CN"/>
        </w:rPr>
        <w:t>广东政通招标有限公司</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（盖单位章）</w:t>
      </w:r>
    </w:p>
    <w:p w14:paraId="33BAB64A">
      <w:pPr>
        <w:jc w:val="center"/>
        <w:rPr>
          <w:rFonts w:ascii="黑体" w:eastAsia="黑体"/>
          <w:color w:val="auto"/>
          <w:sz w:val="28"/>
          <w:szCs w:val="28"/>
          <w:highlight w:val="none"/>
        </w:rPr>
      </w:pPr>
      <w:r>
        <w:rPr>
          <w:rFonts w:hint="eastAsia" w:ascii="黑体" w:eastAsia="黑体"/>
          <w:color w:val="auto"/>
          <w:sz w:val="28"/>
          <w:szCs w:val="28"/>
          <w:highlight w:val="none"/>
        </w:rPr>
        <w:t xml:space="preserve"> </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u w:val="single"/>
          <w:lang w:val="en-US" w:eastAsia="zh-CN"/>
        </w:rPr>
        <w:t>2026</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年</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u w:val="single"/>
          <w:lang w:val="en-US" w:eastAsia="zh-CN"/>
        </w:rPr>
        <w:t>06</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月</w:t>
      </w:r>
    </w:p>
    <w:p w14:paraId="2B0F759C">
      <w:pPr>
        <w:jc w:val="center"/>
        <w:rPr>
          <w:rFonts w:ascii="黑体" w:eastAsia="黑体"/>
          <w:color w:val="auto"/>
          <w:sz w:val="28"/>
          <w:szCs w:val="28"/>
          <w:highlight w:val="none"/>
        </w:rPr>
      </w:pPr>
      <w:r>
        <w:rPr>
          <w:rFonts w:eastAsia="华文隶书"/>
          <w:color w:val="auto"/>
          <w:sz w:val="44"/>
          <w:szCs w:val="44"/>
          <w:highlight w:val="none"/>
        </w:rPr>
        <w:br w:type="page"/>
      </w:r>
      <w:r>
        <w:rPr>
          <w:rFonts w:hint="eastAsia" w:ascii="黑体" w:eastAsia="黑体"/>
          <w:color w:val="auto"/>
          <w:sz w:val="28"/>
          <w:szCs w:val="28"/>
          <w:highlight w:val="none"/>
        </w:rPr>
        <w:t>目 录</w:t>
      </w:r>
    </w:p>
    <w:p w14:paraId="77A19123">
      <w:pPr>
        <w:pStyle w:val="28"/>
        <w:tabs>
          <w:tab w:val="right" w:leader="dot" w:pos="8306"/>
        </w:tabs>
        <w:spacing w:line="360" w:lineRule="auto"/>
        <w:rPr>
          <w:color w:val="auto"/>
          <w:sz w:val="21"/>
          <w:szCs w:val="21"/>
          <w:highlight w:val="none"/>
        </w:rPr>
      </w:pPr>
      <w:r>
        <w:rPr>
          <w:rFonts w:ascii="黑体" w:eastAsia="黑体"/>
          <w:color w:val="auto"/>
          <w:sz w:val="32"/>
          <w:szCs w:val="32"/>
          <w:highlight w:val="none"/>
        </w:rPr>
        <w:fldChar w:fldCharType="begin" w:fldLock="1"/>
      </w:r>
      <w:r>
        <w:rPr>
          <w:rFonts w:ascii="黑体" w:eastAsia="黑体"/>
          <w:color w:val="auto"/>
          <w:sz w:val="32"/>
          <w:szCs w:val="32"/>
          <w:highlight w:val="none"/>
        </w:rPr>
        <w:instrText xml:space="preserve"> </w:instrText>
      </w:r>
      <w:r>
        <w:rPr>
          <w:rFonts w:hint="eastAsia" w:ascii="黑体" w:eastAsia="黑体"/>
          <w:color w:val="auto"/>
          <w:sz w:val="32"/>
          <w:szCs w:val="32"/>
          <w:highlight w:val="none"/>
        </w:rPr>
        <w:instrText xml:space="preserve">TOC \o "1-3" \h \z \u</w:instrText>
      </w:r>
      <w:r>
        <w:rPr>
          <w:rFonts w:ascii="黑体" w:eastAsia="黑体"/>
          <w:color w:val="auto"/>
          <w:sz w:val="32"/>
          <w:szCs w:val="32"/>
          <w:highlight w:val="none"/>
        </w:rPr>
        <w:instrText xml:space="preserve"> </w:instrText>
      </w:r>
      <w:r>
        <w:rPr>
          <w:rFonts w:ascii="黑体" w:eastAsia="黑体"/>
          <w:color w:val="auto"/>
          <w:sz w:val="32"/>
          <w:szCs w:val="32"/>
          <w:highlight w:val="none"/>
        </w:rPr>
        <w:fldChar w:fldCharType="separate"/>
      </w:r>
      <w:r>
        <w:rPr>
          <w:rFonts w:ascii="黑体" w:eastAsia="黑体"/>
          <w:color w:val="auto"/>
          <w:sz w:val="21"/>
          <w:szCs w:val="32"/>
          <w:highlight w:val="none"/>
        </w:rPr>
        <w:fldChar w:fldCharType="begin" w:fldLock="1"/>
      </w:r>
      <w:r>
        <w:rPr>
          <w:rFonts w:ascii="黑体" w:eastAsia="黑体"/>
          <w:color w:val="auto"/>
          <w:sz w:val="21"/>
          <w:szCs w:val="32"/>
          <w:highlight w:val="none"/>
        </w:rPr>
        <w:instrText xml:space="preserve"> HYPERLINK \l _Toc8202 </w:instrText>
      </w:r>
      <w:r>
        <w:rPr>
          <w:rFonts w:ascii="黑体" w:eastAsia="黑体"/>
          <w:color w:val="auto"/>
          <w:sz w:val="21"/>
          <w:szCs w:val="32"/>
          <w:highlight w:val="none"/>
        </w:rPr>
        <w:fldChar w:fldCharType="separate"/>
      </w:r>
      <w:r>
        <w:rPr>
          <w:rFonts w:hint="eastAsia" w:ascii="宋体" w:hAnsi="宋体" w:eastAsia="宋体" w:cs="宋体"/>
          <w:color w:val="auto"/>
          <w:kern w:val="0"/>
          <w:sz w:val="21"/>
          <w:szCs w:val="32"/>
          <w:highlight w:val="none"/>
        </w:rPr>
        <w:t>第</w:t>
      </w:r>
      <w:r>
        <w:rPr>
          <w:rFonts w:ascii="宋体" w:hAnsi="宋体" w:eastAsia="宋体" w:cs="宋体"/>
          <w:color w:val="auto"/>
          <w:kern w:val="0"/>
          <w:sz w:val="21"/>
          <w:szCs w:val="32"/>
          <w:highlight w:val="none"/>
        </w:rPr>
        <w:t>一章  竞争性谈判公告</w:t>
      </w:r>
      <w:r>
        <w:rPr>
          <w:color w:val="auto"/>
          <w:sz w:val="21"/>
          <w:szCs w:val="21"/>
          <w:highlight w:val="none"/>
        </w:rPr>
        <w:tab/>
      </w:r>
      <w:r>
        <w:rPr>
          <w:color w:val="auto"/>
          <w:sz w:val="21"/>
          <w:szCs w:val="21"/>
          <w:highlight w:val="none"/>
        </w:rPr>
        <w:fldChar w:fldCharType="begin" w:fldLock="1"/>
      </w:r>
      <w:r>
        <w:rPr>
          <w:color w:val="auto"/>
          <w:sz w:val="21"/>
          <w:szCs w:val="21"/>
          <w:highlight w:val="none"/>
        </w:rPr>
        <w:instrText xml:space="preserve"> PAGEREF _Toc8202 \h </w:instrText>
      </w:r>
      <w:r>
        <w:rPr>
          <w:color w:val="auto"/>
          <w:sz w:val="21"/>
          <w:szCs w:val="21"/>
          <w:highlight w:val="none"/>
        </w:rPr>
        <w:fldChar w:fldCharType="separate"/>
      </w:r>
      <w:r>
        <w:rPr>
          <w:color w:val="auto"/>
          <w:sz w:val="21"/>
          <w:szCs w:val="21"/>
          <w:highlight w:val="none"/>
        </w:rPr>
        <w:t>4</w:t>
      </w:r>
      <w:r>
        <w:rPr>
          <w:color w:val="auto"/>
          <w:sz w:val="21"/>
          <w:szCs w:val="21"/>
          <w:highlight w:val="none"/>
        </w:rPr>
        <w:fldChar w:fldCharType="end"/>
      </w:r>
      <w:r>
        <w:rPr>
          <w:rFonts w:ascii="黑体" w:eastAsia="黑体"/>
          <w:color w:val="auto"/>
          <w:sz w:val="21"/>
          <w:szCs w:val="32"/>
          <w:highlight w:val="none"/>
        </w:rPr>
        <w:fldChar w:fldCharType="end"/>
      </w:r>
    </w:p>
    <w:p w14:paraId="3EDBBEAA">
      <w:pPr>
        <w:pStyle w:val="28"/>
        <w:tabs>
          <w:tab w:val="right" w:leader="dot" w:pos="8306"/>
        </w:tabs>
        <w:spacing w:line="360" w:lineRule="auto"/>
        <w:rPr>
          <w:color w:val="auto"/>
          <w:sz w:val="21"/>
          <w:szCs w:val="21"/>
          <w:highlight w:val="none"/>
        </w:rPr>
      </w:pPr>
      <w:r>
        <w:rPr>
          <w:rFonts w:ascii="黑体" w:eastAsia="黑体"/>
          <w:color w:val="auto"/>
          <w:sz w:val="21"/>
          <w:szCs w:val="32"/>
          <w:highlight w:val="none"/>
        </w:rPr>
        <w:fldChar w:fldCharType="begin" w:fldLock="1"/>
      </w:r>
      <w:r>
        <w:rPr>
          <w:rFonts w:ascii="黑体" w:eastAsia="黑体"/>
          <w:color w:val="auto"/>
          <w:sz w:val="21"/>
          <w:szCs w:val="32"/>
          <w:highlight w:val="none"/>
        </w:rPr>
        <w:instrText xml:space="preserve"> HYPERLINK \l _Toc29650 </w:instrText>
      </w:r>
      <w:r>
        <w:rPr>
          <w:rFonts w:ascii="黑体" w:eastAsia="黑体"/>
          <w:color w:val="auto"/>
          <w:sz w:val="21"/>
          <w:szCs w:val="32"/>
          <w:highlight w:val="none"/>
        </w:rPr>
        <w:fldChar w:fldCharType="separate"/>
      </w:r>
      <w:r>
        <w:rPr>
          <w:rFonts w:hint="eastAsia" w:ascii="宋体" w:hAnsi="宋体" w:eastAsia="宋体" w:cs="宋体"/>
          <w:color w:val="auto"/>
          <w:kern w:val="0"/>
          <w:sz w:val="21"/>
          <w:szCs w:val="32"/>
          <w:highlight w:val="none"/>
        </w:rPr>
        <w:t>第二章 竞争性谈判响应须知</w:t>
      </w:r>
      <w:r>
        <w:rPr>
          <w:color w:val="auto"/>
          <w:sz w:val="21"/>
          <w:szCs w:val="21"/>
          <w:highlight w:val="none"/>
        </w:rPr>
        <w:tab/>
      </w:r>
      <w:r>
        <w:rPr>
          <w:color w:val="auto"/>
          <w:sz w:val="21"/>
          <w:szCs w:val="21"/>
          <w:highlight w:val="none"/>
        </w:rPr>
        <w:fldChar w:fldCharType="begin" w:fldLock="1"/>
      </w:r>
      <w:r>
        <w:rPr>
          <w:color w:val="auto"/>
          <w:sz w:val="21"/>
          <w:szCs w:val="21"/>
          <w:highlight w:val="none"/>
        </w:rPr>
        <w:instrText xml:space="preserve"> PAGEREF _Toc29650 \h </w:instrText>
      </w:r>
      <w:r>
        <w:rPr>
          <w:color w:val="auto"/>
          <w:sz w:val="21"/>
          <w:szCs w:val="21"/>
          <w:highlight w:val="none"/>
        </w:rPr>
        <w:fldChar w:fldCharType="separate"/>
      </w:r>
      <w:r>
        <w:rPr>
          <w:color w:val="auto"/>
          <w:sz w:val="21"/>
          <w:szCs w:val="21"/>
          <w:highlight w:val="none"/>
        </w:rPr>
        <w:t>7</w:t>
      </w:r>
      <w:r>
        <w:rPr>
          <w:color w:val="auto"/>
          <w:sz w:val="21"/>
          <w:szCs w:val="21"/>
          <w:highlight w:val="none"/>
        </w:rPr>
        <w:fldChar w:fldCharType="end"/>
      </w:r>
      <w:r>
        <w:rPr>
          <w:rFonts w:ascii="黑体" w:eastAsia="黑体"/>
          <w:color w:val="auto"/>
          <w:sz w:val="21"/>
          <w:szCs w:val="32"/>
          <w:highlight w:val="none"/>
        </w:rPr>
        <w:fldChar w:fldCharType="end"/>
      </w:r>
    </w:p>
    <w:p w14:paraId="5DD1B3D4">
      <w:pPr>
        <w:pStyle w:val="28"/>
        <w:tabs>
          <w:tab w:val="right" w:leader="dot" w:pos="8306"/>
        </w:tabs>
        <w:spacing w:line="360" w:lineRule="auto"/>
        <w:rPr>
          <w:color w:val="auto"/>
          <w:sz w:val="21"/>
          <w:szCs w:val="21"/>
          <w:highlight w:val="none"/>
        </w:rPr>
      </w:pPr>
      <w:r>
        <w:rPr>
          <w:rFonts w:ascii="黑体" w:eastAsia="黑体"/>
          <w:color w:val="auto"/>
          <w:sz w:val="21"/>
          <w:szCs w:val="32"/>
          <w:highlight w:val="none"/>
        </w:rPr>
        <w:fldChar w:fldCharType="begin" w:fldLock="1"/>
      </w:r>
      <w:r>
        <w:rPr>
          <w:rFonts w:ascii="黑体" w:eastAsia="黑体"/>
          <w:color w:val="auto"/>
          <w:sz w:val="21"/>
          <w:szCs w:val="32"/>
          <w:highlight w:val="none"/>
        </w:rPr>
        <w:instrText xml:space="preserve"> HYPERLINK \l _Toc5931 </w:instrText>
      </w:r>
      <w:r>
        <w:rPr>
          <w:rFonts w:ascii="黑体" w:eastAsia="黑体"/>
          <w:color w:val="auto"/>
          <w:sz w:val="21"/>
          <w:szCs w:val="32"/>
          <w:highlight w:val="none"/>
        </w:rPr>
        <w:fldChar w:fldCharType="separate"/>
      </w:r>
      <w:r>
        <w:rPr>
          <w:rFonts w:hint="eastAsia"/>
          <w:color w:val="auto"/>
          <w:sz w:val="21"/>
          <w:szCs w:val="32"/>
          <w:highlight w:val="none"/>
        </w:rPr>
        <w:t>竞争性谈判响应须知前附表</w:t>
      </w:r>
      <w:r>
        <w:rPr>
          <w:color w:val="auto"/>
          <w:sz w:val="21"/>
          <w:szCs w:val="21"/>
          <w:highlight w:val="none"/>
        </w:rPr>
        <w:tab/>
      </w:r>
      <w:r>
        <w:rPr>
          <w:color w:val="auto"/>
          <w:sz w:val="21"/>
          <w:szCs w:val="21"/>
          <w:highlight w:val="none"/>
        </w:rPr>
        <w:fldChar w:fldCharType="begin" w:fldLock="1"/>
      </w:r>
      <w:r>
        <w:rPr>
          <w:color w:val="auto"/>
          <w:sz w:val="21"/>
          <w:szCs w:val="21"/>
          <w:highlight w:val="none"/>
        </w:rPr>
        <w:instrText xml:space="preserve"> PAGEREF _Toc5931 \h </w:instrText>
      </w:r>
      <w:r>
        <w:rPr>
          <w:color w:val="auto"/>
          <w:sz w:val="21"/>
          <w:szCs w:val="21"/>
          <w:highlight w:val="none"/>
        </w:rPr>
        <w:fldChar w:fldCharType="separate"/>
      </w:r>
      <w:r>
        <w:rPr>
          <w:color w:val="auto"/>
          <w:sz w:val="21"/>
          <w:szCs w:val="21"/>
          <w:highlight w:val="none"/>
        </w:rPr>
        <w:t>7</w:t>
      </w:r>
      <w:r>
        <w:rPr>
          <w:color w:val="auto"/>
          <w:sz w:val="21"/>
          <w:szCs w:val="21"/>
          <w:highlight w:val="none"/>
        </w:rPr>
        <w:fldChar w:fldCharType="end"/>
      </w:r>
      <w:r>
        <w:rPr>
          <w:rFonts w:ascii="黑体" w:eastAsia="黑体"/>
          <w:color w:val="auto"/>
          <w:sz w:val="21"/>
          <w:szCs w:val="32"/>
          <w:highlight w:val="none"/>
        </w:rPr>
        <w:fldChar w:fldCharType="end"/>
      </w:r>
    </w:p>
    <w:p w14:paraId="4F251A2B">
      <w:pPr>
        <w:pStyle w:val="34"/>
        <w:tabs>
          <w:tab w:val="right" w:leader="dot" w:pos="8306"/>
        </w:tabs>
        <w:spacing w:line="360" w:lineRule="auto"/>
        <w:rPr>
          <w:color w:val="auto"/>
          <w:sz w:val="21"/>
          <w:szCs w:val="21"/>
          <w:highlight w:val="none"/>
        </w:rPr>
      </w:pPr>
      <w:r>
        <w:rPr>
          <w:rFonts w:ascii="黑体" w:eastAsia="黑体"/>
          <w:color w:val="auto"/>
          <w:sz w:val="21"/>
          <w:szCs w:val="32"/>
          <w:highlight w:val="none"/>
        </w:rPr>
        <w:fldChar w:fldCharType="begin" w:fldLock="1"/>
      </w:r>
      <w:r>
        <w:rPr>
          <w:rFonts w:ascii="黑体" w:eastAsia="黑体"/>
          <w:color w:val="auto"/>
          <w:sz w:val="21"/>
          <w:szCs w:val="32"/>
          <w:highlight w:val="none"/>
        </w:rPr>
        <w:instrText xml:space="preserve"> HYPERLINK \l _Toc15744 </w:instrText>
      </w:r>
      <w:r>
        <w:rPr>
          <w:rFonts w:ascii="黑体" w:eastAsia="黑体"/>
          <w:color w:val="auto"/>
          <w:sz w:val="21"/>
          <w:szCs w:val="32"/>
          <w:highlight w:val="none"/>
        </w:rPr>
        <w:fldChar w:fldCharType="separate"/>
      </w:r>
      <w:r>
        <w:rPr>
          <w:rFonts w:hint="eastAsia" w:ascii="黑体" w:hAnsi="黑体"/>
          <w:color w:val="auto"/>
          <w:sz w:val="21"/>
          <w:szCs w:val="21"/>
          <w:highlight w:val="none"/>
        </w:rPr>
        <w:t>1. 总则</w:t>
      </w:r>
      <w:r>
        <w:rPr>
          <w:color w:val="auto"/>
          <w:sz w:val="21"/>
          <w:szCs w:val="21"/>
          <w:highlight w:val="none"/>
        </w:rPr>
        <w:tab/>
      </w:r>
      <w:r>
        <w:rPr>
          <w:color w:val="auto"/>
          <w:sz w:val="21"/>
          <w:szCs w:val="21"/>
          <w:highlight w:val="none"/>
        </w:rPr>
        <w:fldChar w:fldCharType="begin" w:fldLock="1"/>
      </w:r>
      <w:r>
        <w:rPr>
          <w:color w:val="auto"/>
          <w:sz w:val="21"/>
          <w:szCs w:val="21"/>
          <w:highlight w:val="none"/>
        </w:rPr>
        <w:instrText xml:space="preserve"> PAGEREF _Toc15744 \h </w:instrText>
      </w:r>
      <w:r>
        <w:rPr>
          <w:color w:val="auto"/>
          <w:sz w:val="21"/>
          <w:szCs w:val="21"/>
          <w:highlight w:val="none"/>
        </w:rPr>
        <w:fldChar w:fldCharType="separate"/>
      </w:r>
      <w:r>
        <w:rPr>
          <w:color w:val="auto"/>
          <w:sz w:val="21"/>
          <w:szCs w:val="21"/>
          <w:highlight w:val="none"/>
        </w:rPr>
        <w:t>11</w:t>
      </w:r>
      <w:r>
        <w:rPr>
          <w:color w:val="auto"/>
          <w:sz w:val="21"/>
          <w:szCs w:val="21"/>
          <w:highlight w:val="none"/>
        </w:rPr>
        <w:fldChar w:fldCharType="end"/>
      </w:r>
      <w:r>
        <w:rPr>
          <w:rFonts w:ascii="黑体" w:eastAsia="黑体"/>
          <w:color w:val="auto"/>
          <w:sz w:val="21"/>
          <w:szCs w:val="32"/>
          <w:highlight w:val="none"/>
        </w:rPr>
        <w:fldChar w:fldCharType="end"/>
      </w:r>
    </w:p>
    <w:p w14:paraId="2925EEBA">
      <w:pPr>
        <w:pStyle w:val="34"/>
        <w:tabs>
          <w:tab w:val="right" w:leader="dot" w:pos="8306"/>
        </w:tabs>
        <w:spacing w:line="360" w:lineRule="auto"/>
        <w:rPr>
          <w:color w:val="auto"/>
          <w:sz w:val="21"/>
          <w:szCs w:val="21"/>
          <w:highlight w:val="none"/>
        </w:rPr>
      </w:pPr>
      <w:r>
        <w:rPr>
          <w:rFonts w:ascii="黑体" w:eastAsia="黑体"/>
          <w:color w:val="auto"/>
          <w:sz w:val="21"/>
          <w:szCs w:val="32"/>
          <w:highlight w:val="none"/>
        </w:rPr>
        <w:fldChar w:fldCharType="begin" w:fldLock="1"/>
      </w:r>
      <w:r>
        <w:rPr>
          <w:rFonts w:ascii="黑体" w:eastAsia="黑体"/>
          <w:color w:val="auto"/>
          <w:sz w:val="21"/>
          <w:szCs w:val="32"/>
          <w:highlight w:val="none"/>
        </w:rPr>
        <w:instrText xml:space="preserve"> HYPERLINK \l _Toc5141 </w:instrText>
      </w:r>
      <w:r>
        <w:rPr>
          <w:rFonts w:ascii="黑体" w:eastAsia="黑体"/>
          <w:color w:val="auto"/>
          <w:sz w:val="21"/>
          <w:szCs w:val="32"/>
          <w:highlight w:val="none"/>
        </w:rPr>
        <w:fldChar w:fldCharType="separate"/>
      </w:r>
      <w:r>
        <w:rPr>
          <w:rFonts w:hint="eastAsia" w:ascii="黑体" w:hAnsi="黑体"/>
          <w:color w:val="auto"/>
          <w:sz w:val="21"/>
          <w:szCs w:val="21"/>
          <w:highlight w:val="none"/>
        </w:rPr>
        <w:t>2. 竞争性谈判文件</w:t>
      </w:r>
      <w:r>
        <w:rPr>
          <w:color w:val="auto"/>
          <w:sz w:val="21"/>
          <w:szCs w:val="21"/>
          <w:highlight w:val="none"/>
        </w:rPr>
        <w:tab/>
      </w:r>
      <w:r>
        <w:rPr>
          <w:color w:val="auto"/>
          <w:sz w:val="21"/>
          <w:szCs w:val="21"/>
          <w:highlight w:val="none"/>
        </w:rPr>
        <w:fldChar w:fldCharType="begin" w:fldLock="1"/>
      </w:r>
      <w:r>
        <w:rPr>
          <w:color w:val="auto"/>
          <w:sz w:val="21"/>
          <w:szCs w:val="21"/>
          <w:highlight w:val="none"/>
        </w:rPr>
        <w:instrText xml:space="preserve"> PAGEREF _Toc5141 \h </w:instrText>
      </w:r>
      <w:r>
        <w:rPr>
          <w:color w:val="auto"/>
          <w:sz w:val="21"/>
          <w:szCs w:val="21"/>
          <w:highlight w:val="none"/>
        </w:rPr>
        <w:fldChar w:fldCharType="separate"/>
      </w:r>
      <w:r>
        <w:rPr>
          <w:color w:val="auto"/>
          <w:sz w:val="21"/>
          <w:szCs w:val="21"/>
          <w:highlight w:val="none"/>
        </w:rPr>
        <w:t>13</w:t>
      </w:r>
      <w:r>
        <w:rPr>
          <w:color w:val="auto"/>
          <w:sz w:val="21"/>
          <w:szCs w:val="21"/>
          <w:highlight w:val="none"/>
        </w:rPr>
        <w:fldChar w:fldCharType="end"/>
      </w:r>
      <w:r>
        <w:rPr>
          <w:rFonts w:ascii="黑体" w:eastAsia="黑体"/>
          <w:color w:val="auto"/>
          <w:sz w:val="21"/>
          <w:szCs w:val="32"/>
          <w:highlight w:val="none"/>
        </w:rPr>
        <w:fldChar w:fldCharType="end"/>
      </w:r>
    </w:p>
    <w:p w14:paraId="49AAD73F">
      <w:pPr>
        <w:pStyle w:val="34"/>
        <w:tabs>
          <w:tab w:val="right" w:leader="dot" w:pos="8306"/>
        </w:tabs>
        <w:spacing w:line="360" w:lineRule="auto"/>
        <w:rPr>
          <w:color w:val="auto"/>
          <w:sz w:val="21"/>
          <w:szCs w:val="21"/>
          <w:highlight w:val="none"/>
        </w:rPr>
      </w:pPr>
      <w:r>
        <w:rPr>
          <w:rFonts w:ascii="黑体" w:eastAsia="黑体"/>
          <w:color w:val="auto"/>
          <w:sz w:val="21"/>
          <w:szCs w:val="32"/>
          <w:highlight w:val="none"/>
        </w:rPr>
        <w:fldChar w:fldCharType="begin" w:fldLock="1"/>
      </w:r>
      <w:r>
        <w:rPr>
          <w:rFonts w:ascii="黑体" w:eastAsia="黑体"/>
          <w:color w:val="auto"/>
          <w:sz w:val="21"/>
          <w:szCs w:val="32"/>
          <w:highlight w:val="none"/>
        </w:rPr>
        <w:instrText xml:space="preserve"> HYPERLINK \l _Toc906 </w:instrText>
      </w:r>
      <w:r>
        <w:rPr>
          <w:rFonts w:ascii="黑体" w:eastAsia="黑体"/>
          <w:color w:val="auto"/>
          <w:sz w:val="21"/>
          <w:szCs w:val="32"/>
          <w:highlight w:val="none"/>
        </w:rPr>
        <w:fldChar w:fldCharType="separate"/>
      </w:r>
      <w:r>
        <w:rPr>
          <w:rFonts w:hint="eastAsia" w:ascii="黑体" w:hAnsi="黑体"/>
          <w:color w:val="auto"/>
          <w:sz w:val="21"/>
          <w:szCs w:val="21"/>
          <w:highlight w:val="none"/>
        </w:rPr>
        <w:t>3. 响应文件</w:t>
      </w:r>
      <w:r>
        <w:rPr>
          <w:color w:val="auto"/>
          <w:sz w:val="21"/>
          <w:szCs w:val="21"/>
          <w:highlight w:val="none"/>
        </w:rPr>
        <w:tab/>
      </w:r>
      <w:r>
        <w:rPr>
          <w:color w:val="auto"/>
          <w:sz w:val="21"/>
          <w:szCs w:val="21"/>
          <w:highlight w:val="none"/>
        </w:rPr>
        <w:fldChar w:fldCharType="begin" w:fldLock="1"/>
      </w:r>
      <w:r>
        <w:rPr>
          <w:color w:val="auto"/>
          <w:sz w:val="21"/>
          <w:szCs w:val="21"/>
          <w:highlight w:val="none"/>
        </w:rPr>
        <w:instrText xml:space="preserve"> PAGEREF _Toc906 \h </w:instrText>
      </w:r>
      <w:r>
        <w:rPr>
          <w:color w:val="auto"/>
          <w:sz w:val="21"/>
          <w:szCs w:val="21"/>
          <w:highlight w:val="none"/>
        </w:rPr>
        <w:fldChar w:fldCharType="separate"/>
      </w:r>
      <w:r>
        <w:rPr>
          <w:color w:val="auto"/>
          <w:sz w:val="21"/>
          <w:szCs w:val="21"/>
          <w:highlight w:val="none"/>
        </w:rPr>
        <w:t>14</w:t>
      </w:r>
      <w:r>
        <w:rPr>
          <w:color w:val="auto"/>
          <w:sz w:val="21"/>
          <w:szCs w:val="21"/>
          <w:highlight w:val="none"/>
        </w:rPr>
        <w:fldChar w:fldCharType="end"/>
      </w:r>
      <w:r>
        <w:rPr>
          <w:rFonts w:ascii="黑体" w:eastAsia="黑体"/>
          <w:color w:val="auto"/>
          <w:sz w:val="21"/>
          <w:szCs w:val="32"/>
          <w:highlight w:val="none"/>
        </w:rPr>
        <w:fldChar w:fldCharType="end"/>
      </w:r>
    </w:p>
    <w:p w14:paraId="2200FE6E">
      <w:pPr>
        <w:pStyle w:val="34"/>
        <w:tabs>
          <w:tab w:val="right" w:leader="dot" w:pos="8306"/>
        </w:tabs>
        <w:spacing w:line="360" w:lineRule="auto"/>
        <w:rPr>
          <w:color w:val="auto"/>
          <w:sz w:val="21"/>
          <w:szCs w:val="21"/>
          <w:highlight w:val="none"/>
        </w:rPr>
      </w:pPr>
      <w:r>
        <w:rPr>
          <w:rFonts w:ascii="黑体" w:eastAsia="黑体"/>
          <w:color w:val="auto"/>
          <w:sz w:val="21"/>
          <w:szCs w:val="32"/>
          <w:highlight w:val="none"/>
        </w:rPr>
        <w:fldChar w:fldCharType="begin" w:fldLock="1"/>
      </w:r>
      <w:r>
        <w:rPr>
          <w:rFonts w:ascii="黑体" w:eastAsia="黑体"/>
          <w:color w:val="auto"/>
          <w:sz w:val="21"/>
          <w:szCs w:val="32"/>
          <w:highlight w:val="none"/>
        </w:rPr>
        <w:instrText xml:space="preserve"> HYPERLINK \l _Toc11193 </w:instrText>
      </w:r>
      <w:r>
        <w:rPr>
          <w:rFonts w:ascii="黑体" w:eastAsia="黑体"/>
          <w:color w:val="auto"/>
          <w:sz w:val="21"/>
          <w:szCs w:val="32"/>
          <w:highlight w:val="none"/>
        </w:rPr>
        <w:fldChar w:fldCharType="separate"/>
      </w:r>
      <w:r>
        <w:rPr>
          <w:rFonts w:hint="eastAsia" w:ascii="黑体" w:hAnsi="黑体"/>
          <w:color w:val="auto"/>
          <w:sz w:val="21"/>
          <w:szCs w:val="21"/>
          <w:highlight w:val="none"/>
        </w:rPr>
        <w:t>4. 竞争性谈判</w:t>
      </w:r>
      <w:r>
        <w:rPr>
          <w:color w:val="auto"/>
          <w:sz w:val="21"/>
          <w:szCs w:val="21"/>
          <w:highlight w:val="none"/>
        </w:rPr>
        <w:tab/>
      </w:r>
      <w:r>
        <w:rPr>
          <w:color w:val="auto"/>
          <w:sz w:val="21"/>
          <w:szCs w:val="21"/>
          <w:highlight w:val="none"/>
        </w:rPr>
        <w:fldChar w:fldCharType="begin" w:fldLock="1"/>
      </w:r>
      <w:r>
        <w:rPr>
          <w:color w:val="auto"/>
          <w:sz w:val="21"/>
          <w:szCs w:val="21"/>
          <w:highlight w:val="none"/>
        </w:rPr>
        <w:instrText xml:space="preserve"> PAGEREF _Toc11193 \h </w:instrText>
      </w:r>
      <w:r>
        <w:rPr>
          <w:color w:val="auto"/>
          <w:sz w:val="21"/>
          <w:szCs w:val="21"/>
          <w:highlight w:val="none"/>
        </w:rPr>
        <w:fldChar w:fldCharType="separate"/>
      </w:r>
      <w:r>
        <w:rPr>
          <w:color w:val="auto"/>
          <w:sz w:val="21"/>
          <w:szCs w:val="21"/>
          <w:highlight w:val="none"/>
        </w:rPr>
        <w:t>16</w:t>
      </w:r>
      <w:r>
        <w:rPr>
          <w:color w:val="auto"/>
          <w:sz w:val="21"/>
          <w:szCs w:val="21"/>
          <w:highlight w:val="none"/>
        </w:rPr>
        <w:fldChar w:fldCharType="end"/>
      </w:r>
      <w:r>
        <w:rPr>
          <w:rFonts w:ascii="黑体" w:eastAsia="黑体"/>
          <w:color w:val="auto"/>
          <w:sz w:val="21"/>
          <w:szCs w:val="32"/>
          <w:highlight w:val="none"/>
        </w:rPr>
        <w:fldChar w:fldCharType="end"/>
      </w:r>
    </w:p>
    <w:p w14:paraId="0B3B4952">
      <w:pPr>
        <w:pStyle w:val="34"/>
        <w:tabs>
          <w:tab w:val="right" w:leader="dot" w:pos="8306"/>
        </w:tabs>
        <w:spacing w:line="360" w:lineRule="auto"/>
        <w:rPr>
          <w:color w:val="auto"/>
          <w:sz w:val="21"/>
          <w:szCs w:val="21"/>
          <w:highlight w:val="none"/>
        </w:rPr>
      </w:pPr>
      <w:r>
        <w:rPr>
          <w:rFonts w:ascii="黑体" w:eastAsia="黑体"/>
          <w:color w:val="auto"/>
          <w:sz w:val="21"/>
          <w:szCs w:val="32"/>
          <w:highlight w:val="none"/>
        </w:rPr>
        <w:fldChar w:fldCharType="begin" w:fldLock="1"/>
      </w:r>
      <w:r>
        <w:rPr>
          <w:rFonts w:ascii="黑体" w:eastAsia="黑体"/>
          <w:color w:val="auto"/>
          <w:sz w:val="21"/>
          <w:szCs w:val="32"/>
          <w:highlight w:val="none"/>
        </w:rPr>
        <w:instrText xml:space="preserve"> HYPERLINK \l _Toc7925 </w:instrText>
      </w:r>
      <w:r>
        <w:rPr>
          <w:rFonts w:ascii="黑体" w:eastAsia="黑体"/>
          <w:color w:val="auto"/>
          <w:sz w:val="21"/>
          <w:szCs w:val="32"/>
          <w:highlight w:val="none"/>
        </w:rPr>
        <w:fldChar w:fldCharType="separate"/>
      </w:r>
      <w:r>
        <w:rPr>
          <w:rFonts w:hint="eastAsia"/>
          <w:color w:val="auto"/>
          <w:sz w:val="21"/>
          <w:szCs w:val="21"/>
          <w:highlight w:val="none"/>
        </w:rPr>
        <w:t>5. 公开唱标</w:t>
      </w:r>
      <w:r>
        <w:rPr>
          <w:color w:val="auto"/>
          <w:sz w:val="21"/>
          <w:szCs w:val="21"/>
          <w:highlight w:val="none"/>
        </w:rPr>
        <w:tab/>
      </w:r>
      <w:r>
        <w:rPr>
          <w:color w:val="auto"/>
          <w:sz w:val="21"/>
          <w:szCs w:val="21"/>
          <w:highlight w:val="none"/>
        </w:rPr>
        <w:fldChar w:fldCharType="begin" w:fldLock="1"/>
      </w:r>
      <w:r>
        <w:rPr>
          <w:color w:val="auto"/>
          <w:sz w:val="21"/>
          <w:szCs w:val="21"/>
          <w:highlight w:val="none"/>
        </w:rPr>
        <w:instrText xml:space="preserve"> PAGEREF _Toc7925 \h </w:instrText>
      </w:r>
      <w:r>
        <w:rPr>
          <w:color w:val="auto"/>
          <w:sz w:val="21"/>
          <w:szCs w:val="21"/>
          <w:highlight w:val="none"/>
        </w:rPr>
        <w:fldChar w:fldCharType="separate"/>
      </w:r>
      <w:r>
        <w:rPr>
          <w:color w:val="auto"/>
          <w:sz w:val="21"/>
          <w:szCs w:val="21"/>
          <w:highlight w:val="none"/>
        </w:rPr>
        <w:t>17</w:t>
      </w:r>
      <w:r>
        <w:rPr>
          <w:color w:val="auto"/>
          <w:sz w:val="21"/>
          <w:szCs w:val="21"/>
          <w:highlight w:val="none"/>
        </w:rPr>
        <w:fldChar w:fldCharType="end"/>
      </w:r>
      <w:r>
        <w:rPr>
          <w:rFonts w:ascii="黑体" w:eastAsia="黑体"/>
          <w:color w:val="auto"/>
          <w:sz w:val="21"/>
          <w:szCs w:val="32"/>
          <w:highlight w:val="none"/>
        </w:rPr>
        <w:fldChar w:fldCharType="end"/>
      </w:r>
    </w:p>
    <w:p w14:paraId="204D38A2">
      <w:pPr>
        <w:pStyle w:val="34"/>
        <w:tabs>
          <w:tab w:val="right" w:leader="dot" w:pos="8306"/>
        </w:tabs>
        <w:spacing w:line="360" w:lineRule="auto"/>
        <w:rPr>
          <w:color w:val="auto"/>
          <w:sz w:val="21"/>
          <w:szCs w:val="21"/>
          <w:highlight w:val="none"/>
        </w:rPr>
      </w:pPr>
      <w:r>
        <w:rPr>
          <w:rFonts w:ascii="黑体" w:eastAsia="黑体"/>
          <w:color w:val="auto"/>
          <w:sz w:val="21"/>
          <w:szCs w:val="32"/>
          <w:highlight w:val="none"/>
        </w:rPr>
        <w:fldChar w:fldCharType="begin" w:fldLock="1"/>
      </w:r>
      <w:r>
        <w:rPr>
          <w:rFonts w:ascii="黑体" w:eastAsia="黑体"/>
          <w:color w:val="auto"/>
          <w:sz w:val="21"/>
          <w:szCs w:val="32"/>
          <w:highlight w:val="none"/>
        </w:rPr>
        <w:instrText xml:space="preserve"> HYPERLINK \l _Toc21401 </w:instrText>
      </w:r>
      <w:r>
        <w:rPr>
          <w:rFonts w:ascii="黑体" w:eastAsia="黑体"/>
          <w:color w:val="auto"/>
          <w:sz w:val="21"/>
          <w:szCs w:val="32"/>
          <w:highlight w:val="none"/>
        </w:rPr>
        <w:fldChar w:fldCharType="separate"/>
      </w:r>
      <w:r>
        <w:rPr>
          <w:rFonts w:hint="eastAsia"/>
          <w:color w:val="auto"/>
          <w:sz w:val="21"/>
          <w:szCs w:val="21"/>
          <w:highlight w:val="none"/>
        </w:rPr>
        <w:t>6. 评审</w:t>
      </w:r>
      <w:r>
        <w:rPr>
          <w:color w:val="auto"/>
          <w:sz w:val="21"/>
          <w:szCs w:val="21"/>
          <w:highlight w:val="none"/>
        </w:rPr>
        <w:tab/>
      </w:r>
      <w:r>
        <w:rPr>
          <w:color w:val="auto"/>
          <w:sz w:val="21"/>
          <w:szCs w:val="21"/>
          <w:highlight w:val="none"/>
        </w:rPr>
        <w:fldChar w:fldCharType="begin" w:fldLock="1"/>
      </w:r>
      <w:r>
        <w:rPr>
          <w:color w:val="auto"/>
          <w:sz w:val="21"/>
          <w:szCs w:val="21"/>
          <w:highlight w:val="none"/>
        </w:rPr>
        <w:instrText xml:space="preserve"> PAGEREF _Toc21401 \h </w:instrText>
      </w:r>
      <w:r>
        <w:rPr>
          <w:color w:val="auto"/>
          <w:sz w:val="21"/>
          <w:szCs w:val="21"/>
          <w:highlight w:val="none"/>
        </w:rPr>
        <w:fldChar w:fldCharType="separate"/>
      </w:r>
      <w:r>
        <w:rPr>
          <w:color w:val="auto"/>
          <w:sz w:val="21"/>
          <w:szCs w:val="21"/>
          <w:highlight w:val="none"/>
        </w:rPr>
        <w:t>18</w:t>
      </w:r>
      <w:r>
        <w:rPr>
          <w:color w:val="auto"/>
          <w:sz w:val="21"/>
          <w:szCs w:val="21"/>
          <w:highlight w:val="none"/>
        </w:rPr>
        <w:fldChar w:fldCharType="end"/>
      </w:r>
      <w:r>
        <w:rPr>
          <w:rFonts w:ascii="黑体" w:eastAsia="黑体"/>
          <w:color w:val="auto"/>
          <w:sz w:val="21"/>
          <w:szCs w:val="32"/>
          <w:highlight w:val="none"/>
        </w:rPr>
        <w:fldChar w:fldCharType="end"/>
      </w:r>
    </w:p>
    <w:p w14:paraId="086057E4">
      <w:pPr>
        <w:pStyle w:val="34"/>
        <w:tabs>
          <w:tab w:val="right" w:leader="dot" w:pos="8306"/>
        </w:tabs>
        <w:spacing w:line="360" w:lineRule="auto"/>
        <w:rPr>
          <w:color w:val="auto"/>
          <w:sz w:val="21"/>
          <w:szCs w:val="21"/>
          <w:highlight w:val="none"/>
        </w:rPr>
      </w:pPr>
      <w:r>
        <w:rPr>
          <w:rFonts w:ascii="黑体" w:eastAsia="黑体"/>
          <w:color w:val="auto"/>
          <w:sz w:val="21"/>
          <w:szCs w:val="32"/>
          <w:highlight w:val="none"/>
        </w:rPr>
        <w:fldChar w:fldCharType="begin" w:fldLock="1"/>
      </w:r>
      <w:r>
        <w:rPr>
          <w:rFonts w:ascii="黑体" w:eastAsia="黑体"/>
          <w:color w:val="auto"/>
          <w:sz w:val="21"/>
          <w:szCs w:val="32"/>
          <w:highlight w:val="none"/>
        </w:rPr>
        <w:instrText xml:space="preserve"> HYPERLINK \l _Toc21914 </w:instrText>
      </w:r>
      <w:r>
        <w:rPr>
          <w:rFonts w:ascii="黑体" w:eastAsia="黑体"/>
          <w:color w:val="auto"/>
          <w:sz w:val="21"/>
          <w:szCs w:val="32"/>
          <w:highlight w:val="none"/>
        </w:rPr>
        <w:fldChar w:fldCharType="separate"/>
      </w:r>
      <w:r>
        <w:rPr>
          <w:rFonts w:hint="eastAsia"/>
          <w:color w:val="auto"/>
          <w:sz w:val="21"/>
          <w:szCs w:val="21"/>
          <w:highlight w:val="none"/>
        </w:rPr>
        <w:t>7. 成交</w:t>
      </w:r>
      <w:r>
        <w:rPr>
          <w:color w:val="auto"/>
          <w:sz w:val="21"/>
          <w:szCs w:val="21"/>
          <w:highlight w:val="none"/>
        </w:rPr>
        <w:tab/>
      </w:r>
      <w:r>
        <w:rPr>
          <w:color w:val="auto"/>
          <w:sz w:val="21"/>
          <w:szCs w:val="21"/>
          <w:highlight w:val="none"/>
        </w:rPr>
        <w:fldChar w:fldCharType="begin" w:fldLock="1"/>
      </w:r>
      <w:r>
        <w:rPr>
          <w:color w:val="auto"/>
          <w:sz w:val="21"/>
          <w:szCs w:val="21"/>
          <w:highlight w:val="none"/>
        </w:rPr>
        <w:instrText xml:space="preserve"> PAGEREF _Toc21914 \h </w:instrText>
      </w:r>
      <w:r>
        <w:rPr>
          <w:color w:val="auto"/>
          <w:sz w:val="21"/>
          <w:szCs w:val="21"/>
          <w:highlight w:val="none"/>
        </w:rPr>
        <w:fldChar w:fldCharType="separate"/>
      </w:r>
      <w:r>
        <w:rPr>
          <w:color w:val="auto"/>
          <w:sz w:val="21"/>
          <w:szCs w:val="21"/>
          <w:highlight w:val="none"/>
        </w:rPr>
        <w:t>18</w:t>
      </w:r>
      <w:r>
        <w:rPr>
          <w:color w:val="auto"/>
          <w:sz w:val="21"/>
          <w:szCs w:val="21"/>
          <w:highlight w:val="none"/>
        </w:rPr>
        <w:fldChar w:fldCharType="end"/>
      </w:r>
      <w:r>
        <w:rPr>
          <w:rFonts w:ascii="黑体" w:eastAsia="黑体"/>
          <w:color w:val="auto"/>
          <w:sz w:val="21"/>
          <w:szCs w:val="32"/>
          <w:highlight w:val="none"/>
        </w:rPr>
        <w:fldChar w:fldCharType="end"/>
      </w:r>
    </w:p>
    <w:p w14:paraId="528AF02D">
      <w:pPr>
        <w:pStyle w:val="34"/>
        <w:tabs>
          <w:tab w:val="right" w:leader="dot" w:pos="8306"/>
        </w:tabs>
        <w:spacing w:line="360" w:lineRule="auto"/>
        <w:rPr>
          <w:color w:val="auto"/>
          <w:sz w:val="21"/>
          <w:szCs w:val="21"/>
          <w:highlight w:val="none"/>
        </w:rPr>
      </w:pPr>
      <w:r>
        <w:rPr>
          <w:rFonts w:ascii="黑体" w:eastAsia="黑体"/>
          <w:color w:val="auto"/>
          <w:sz w:val="21"/>
          <w:szCs w:val="32"/>
          <w:highlight w:val="none"/>
        </w:rPr>
        <w:fldChar w:fldCharType="begin" w:fldLock="1"/>
      </w:r>
      <w:r>
        <w:rPr>
          <w:rFonts w:ascii="黑体" w:eastAsia="黑体"/>
          <w:color w:val="auto"/>
          <w:sz w:val="21"/>
          <w:szCs w:val="32"/>
          <w:highlight w:val="none"/>
        </w:rPr>
        <w:instrText xml:space="preserve"> HYPERLINK \l _Toc20220 </w:instrText>
      </w:r>
      <w:r>
        <w:rPr>
          <w:rFonts w:ascii="黑体" w:eastAsia="黑体"/>
          <w:color w:val="auto"/>
          <w:sz w:val="21"/>
          <w:szCs w:val="32"/>
          <w:highlight w:val="none"/>
        </w:rPr>
        <w:fldChar w:fldCharType="separate"/>
      </w:r>
      <w:r>
        <w:rPr>
          <w:rFonts w:hint="eastAsia"/>
          <w:color w:val="auto"/>
          <w:sz w:val="21"/>
          <w:szCs w:val="21"/>
          <w:highlight w:val="none"/>
        </w:rPr>
        <w:t>8.合同签订</w:t>
      </w:r>
      <w:r>
        <w:rPr>
          <w:color w:val="auto"/>
          <w:sz w:val="21"/>
          <w:szCs w:val="21"/>
          <w:highlight w:val="none"/>
        </w:rPr>
        <w:tab/>
      </w:r>
      <w:r>
        <w:rPr>
          <w:color w:val="auto"/>
          <w:sz w:val="21"/>
          <w:szCs w:val="21"/>
          <w:highlight w:val="none"/>
        </w:rPr>
        <w:fldChar w:fldCharType="begin" w:fldLock="1"/>
      </w:r>
      <w:r>
        <w:rPr>
          <w:color w:val="auto"/>
          <w:sz w:val="21"/>
          <w:szCs w:val="21"/>
          <w:highlight w:val="none"/>
        </w:rPr>
        <w:instrText xml:space="preserve"> PAGEREF _Toc20220 \h </w:instrText>
      </w:r>
      <w:r>
        <w:rPr>
          <w:color w:val="auto"/>
          <w:sz w:val="21"/>
          <w:szCs w:val="21"/>
          <w:highlight w:val="none"/>
        </w:rPr>
        <w:fldChar w:fldCharType="separate"/>
      </w:r>
      <w:r>
        <w:rPr>
          <w:color w:val="auto"/>
          <w:sz w:val="21"/>
          <w:szCs w:val="21"/>
          <w:highlight w:val="none"/>
        </w:rPr>
        <w:t>19</w:t>
      </w:r>
      <w:r>
        <w:rPr>
          <w:color w:val="auto"/>
          <w:sz w:val="21"/>
          <w:szCs w:val="21"/>
          <w:highlight w:val="none"/>
        </w:rPr>
        <w:fldChar w:fldCharType="end"/>
      </w:r>
      <w:r>
        <w:rPr>
          <w:rFonts w:ascii="黑体" w:eastAsia="黑体"/>
          <w:color w:val="auto"/>
          <w:sz w:val="21"/>
          <w:szCs w:val="32"/>
          <w:highlight w:val="none"/>
        </w:rPr>
        <w:fldChar w:fldCharType="end"/>
      </w:r>
    </w:p>
    <w:p w14:paraId="1F3601E1">
      <w:pPr>
        <w:pStyle w:val="34"/>
        <w:tabs>
          <w:tab w:val="right" w:leader="dot" w:pos="8306"/>
        </w:tabs>
        <w:spacing w:line="360" w:lineRule="auto"/>
        <w:rPr>
          <w:color w:val="auto"/>
          <w:sz w:val="21"/>
          <w:szCs w:val="21"/>
          <w:highlight w:val="none"/>
        </w:rPr>
      </w:pPr>
      <w:r>
        <w:rPr>
          <w:rFonts w:ascii="黑体" w:eastAsia="黑体"/>
          <w:color w:val="auto"/>
          <w:sz w:val="21"/>
          <w:szCs w:val="32"/>
          <w:highlight w:val="none"/>
        </w:rPr>
        <w:fldChar w:fldCharType="begin" w:fldLock="1"/>
      </w:r>
      <w:r>
        <w:rPr>
          <w:rFonts w:ascii="黑体" w:eastAsia="黑体"/>
          <w:color w:val="auto"/>
          <w:sz w:val="21"/>
          <w:szCs w:val="32"/>
          <w:highlight w:val="none"/>
        </w:rPr>
        <w:instrText xml:space="preserve"> HYPERLINK \l _Toc1814 </w:instrText>
      </w:r>
      <w:r>
        <w:rPr>
          <w:rFonts w:ascii="黑体" w:eastAsia="黑体"/>
          <w:color w:val="auto"/>
          <w:sz w:val="21"/>
          <w:szCs w:val="32"/>
          <w:highlight w:val="none"/>
        </w:rPr>
        <w:fldChar w:fldCharType="separate"/>
      </w:r>
      <w:r>
        <w:rPr>
          <w:rFonts w:hint="eastAsia"/>
          <w:color w:val="auto"/>
          <w:sz w:val="21"/>
          <w:szCs w:val="21"/>
          <w:highlight w:val="none"/>
        </w:rPr>
        <w:t>9.采购代理服务费</w:t>
      </w:r>
      <w:r>
        <w:rPr>
          <w:color w:val="auto"/>
          <w:sz w:val="21"/>
          <w:szCs w:val="21"/>
          <w:highlight w:val="none"/>
        </w:rPr>
        <w:tab/>
      </w:r>
      <w:r>
        <w:rPr>
          <w:color w:val="auto"/>
          <w:sz w:val="21"/>
          <w:szCs w:val="21"/>
          <w:highlight w:val="none"/>
        </w:rPr>
        <w:fldChar w:fldCharType="begin" w:fldLock="1"/>
      </w:r>
      <w:r>
        <w:rPr>
          <w:color w:val="auto"/>
          <w:sz w:val="21"/>
          <w:szCs w:val="21"/>
          <w:highlight w:val="none"/>
        </w:rPr>
        <w:instrText xml:space="preserve"> PAGEREF _Toc1814 \h </w:instrText>
      </w:r>
      <w:r>
        <w:rPr>
          <w:color w:val="auto"/>
          <w:sz w:val="21"/>
          <w:szCs w:val="21"/>
          <w:highlight w:val="none"/>
        </w:rPr>
        <w:fldChar w:fldCharType="separate"/>
      </w:r>
      <w:r>
        <w:rPr>
          <w:color w:val="auto"/>
          <w:sz w:val="21"/>
          <w:szCs w:val="21"/>
          <w:highlight w:val="none"/>
        </w:rPr>
        <w:t>20</w:t>
      </w:r>
      <w:r>
        <w:rPr>
          <w:color w:val="auto"/>
          <w:sz w:val="21"/>
          <w:szCs w:val="21"/>
          <w:highlight w:val="none"/>
        </w:rPr>
        <w:fldChar w:fldCharType="end"/>
      </w:r>
      <w:r>
        <w:rPr>
          <w:rFonts w:ascii="黑体" w:eastAsia="黑体"/>
          <w:color w:val="auto"/>
          <w:sz w:val="21"/>
          <w:szCs w:val="32"/>
          <w:highlight w:val="none"/>
        </w:rPr>
        <w:fldChar w:fldCharType="end"/>
      </w:r>
    </w:p>
    <w:p w14:paraId="0BD4BDE7">
      <w:pPr>
        <w:pStyle w:val="34"/>
        <w:tabs>
          <w:tab w:val="right" w:leader="dot" w:pos="8306"/>
        </w:tabs>
        <w:spacing w:line="360" w:lineRule="auto"/>
        <w:rPr>
          <w:color w:val="auto"/>
          <w:sz w:val="21"/>
          <w:szCs w:val="21"/>
          <w:highlight w:val="none"/>
        </w:rPr>
      </w:pPr>
      <w:r>
        <w:rPr>
          <w:rFonts w:ascii="黑体" w:eastAsia="黑体"/>
          <w:color w:val="auto"/>
          <w:sz w:val="21"/>
          <w:szCs w:val="32"/>
          <w:highlight w:val="none"/>
        </w:rPr>
        <w:fldChar w:fldCharType="begin" w:fldLock="1"/>
      </w:r>
      <w:r>
        <w:rPr>
          <w:rFonts w:ascii="黑体" w:eastAsia="黑体"/>
          <w:color w:val="auto"/>
          <w:sz w:val="21"/>
          <w:szCs w:val="32"/>
          <w:highlight w:val="none"/>
        </w:rPr>
        <w:instrText xml:space="preserve"> HYPERLINK \l _Toc19131 </w:instrText>
      </w:r>
      <w:r>
        <w:rPr>
          <w:rFonts w:ascii="黑体" w:eastAsia="黑体"/>
          <w:color w:val="auto"/>
          <w:sz w:val="21"/>
          <w:szCs w:val="32"/>
          <w:highlight w:val="none"/>
        </w:rPr>
        <w:fldChar w:fldCharType="separate"/>
      </w:r>
      <w:r>
        <w:rPr>
          <w:rFonts w:hint="eastAsia"/>
          <w:color w:val="auto"/>
          <w:sz w:val="21"/>
          <w:szCs w:val="21"/>
          <w:highlight w:val="none"/>
        </w:rPr>
        <w:t>10. 纪律和监督</w:t>
      </w:r>
      <w:r>
        <w:rPr>
          <w:color w:val="auto"/>
          <w:sz w:val="21"/>
          <w:szCs w:val="21"/>
          <w:highlight w:val="none"/>
        </w:rPr>
        <w:tab/>
      </w:r>
      <w:r>
        <w:rPr>
          <w:color w:val="auto"/>
          <w:sz w:val="21"/>
          <w:szCs w:val="21"/>
          <w:highlight w:val="none"/>
        </w:rPr>
        <w:fldChar w:fldCharType="begin" w:fldLock="1"/>
      </w:r>
      <w:r>
        <w:rPr>
          <w:color w:val="auto"/>
          <w:sz w:val="21"/>
          <w:szCs w:val="21"/>
          <w:highlight w:val="none"/>
        </w:rPr>
        <w:instrText xml:space="preserve"> PAGEREF _Toc19131 \h </w:instrText>
      </w:r>
      <w:r>
        <w:rPr>
          <w:color w:val="auto"/>
          <w:sz w:val="21"/>
          <w:szCs w:val="21"/>
          <w:highlight w:val="none"/>
        </w:rPr>
        <w:fldChar w:fldCharType="separate"/>
      </w:r>
      <w:r>
        <w:rPr>
          <w:color w:val="auto"/>
          <w:sz w:val="21"/>
          <w:szCs w:val="21"/>
          <w:highlight w:val="none"/>
        </w:rPr>
        <w:t>20</w:t>
      </w:r>
      <w:r>
        <w:rPr>
          <w:color w:val="auto"/>
          <w:sz w:val="21"/>
          <w:szCs w:val="21"/>
          <w:highlight w:val="none"/>
        </w:rPr>
        <w:fldChar w:fldCharType="end"/>
      </w:r>
      <w:r>
        <w:rPr>
          <w:rFonts w:ascii="黑体" w:eastAsia="黑体"/>
          <w:color w:val="auto"/>
          <w:sz w:val="21"/>
          <w:szCs w:val="32"/>
          <w:highlight w:val="none"/>
        </w:rPr>
        <w:fldChar w:fldCharType="end"/>
      </w:r>
    </w:p>
    <w:p w14:paraId="5B655C92">
      <w:pPr>
        <w:pStyle w:val="34"/>
        <w:tabs>
          <w:tab w:val="right" w:leader="dot" w:pos="8306"/>
        </w:tabs>
        <w:spacing w:line="360" w:lineRule="auto"/>
        <w:rPr>
          <w:color w:val="auto"/>
          <w:sz w:val="21"/>
          <w:szCs w:val="21"/>
          <w:highlight w:val="none"/>
        </w:rPr>
      </w:pPr>
      <w:r>
        <w:rPr>
          <w:rFonts w:ascii="黑体" w:eastAsia="黑体"/>
          <w:color w:val="auto"/>
          <w:sz w:val="21"/>
          <w:szCs w:val="32"/>
          <w:highlight w:val="none"/>
        </w:rPr>
        <w:fldChar w:fldCharType="begin" w:fldLock="1"/>
      </w:r>
      <w:r>
        <w:rPr>
          <w:rFonts w:ascii="黑体" w:eastAsia="黑体"/>
          <w:color w:val="auto"/>
          <w:sz w:val="21"/>
          <w:szCs w:val="32"/>
          <w:highlight w:val="none"/>
        </w:rPr>
        <w:instrText xml:space="preserve"> HYPERLINK \l _Toc29150 </w:instrText>
      </w:r>
      <w:r>
        <w:rPr>
          <w:rFonts w:ascii="黑体" w:eastAsia="黑体"/>
          <w:color w:val="auto"/>
          <w:sz w:val="21"/>
          <w:szCs w:val="32"/>
          <w:highlight w:val="none"/>
        </w:rPr>
        <w:fldChar w:fldCharType="separate"/>
      </w:r>
      <w:r>
        <w:rPr>
          <w:rFonts w:hint="eastAsia"/>
          <w:color w:val="auto"/>
          <w:sz w:val="21"/>
          <w:szCs w:val="21"/>
          <w:highlight w:val="none"/>
        </w:rPr>
        <w:t>11. 需要补充的其他内容</w:t>
      </w:r>
      <w:r>
        <w:rPr>
          <w:color w:val="auto"/>
          <w:sz w:val="21"/>
          <w:szCs w:val="21"/>
          <w:highlight w:val="none"/>
        </w:rPr>
        <w:tab/>
      </w:r>
      <w:r>
        <w:rPr>
          <w:color w:val="auto"/>
          <w:sz w:val="21"/>
          <w:szCs w:val="21"/>
          <w:highlight w:val="none"/>
        </w:rPr>
        <w:fldChar w:fldCharType="begin" w:fldLock="1"/>
      </w:r>
      <w:r>
        <w:rPr>
          <w:color w:val="auto"/>
          <w:sz w:val="21"/>
          <w:szCs w:val="21"/>
          <w:highlight w:val="none"/>
        </w:rPr>
        <w:instrText xml:space="preserve"> PAGEREF _Toc29150 \h </w:instrText>
      </w:r>
      <w:r>
        <w:rPr>
          <w:color w:val="auto"/>
          <w:sz w:val="21"/>
          <w:szCs w:val="21"/>
          <w:highlight w:val="none"/>
        </w:rPr>
        <w:fldChar w:fldCharType="separate"/>
      </w:r>
      <w:r>
        <w:rPr>
          <w:color w:val="auto"/>
          <w:sz w:val="21"/>
          <w:szCs w:val="21"/>
          <w:highlight w:val="none"/>
        </w:rPr>
        <w:t>21</w:t>
      </w:r>
      <w:r>
        <w:rPr>
          <w:color w:val="auto"/>
          <w:sz w:val="21"/>
          <w:szCs w:val="21"/>
          <w:highlight w:val="none"/>
        </w:rPr>
        <w:fldChar w:fldCharType="end"/>
      </w:r>
      <w:r>
        <w:rPr>
          <w:rFonts w:ascii="黑体" w:eastAsia="黑体"/>
          <w:color w:val="auto"/>
          <w:sz w:val="21"/>
          <w:szCs w:val="32"/>
          <w:highlight w:val="none"/>
        </w:rPr>
        <w:fldChar w:fldCharType="end"/>
      </w:r>
    </w:p>
    <w:p w14:paraId="4F523C14">
      <w:pPr>
        <w:pStyle w:val="28"/>
        <w:tabs>
          <w:tab w:val="right" w:leader="dot" w:pos="8306"/>
        </w:tabs>
        <w:spacing w:line="360" w:lineRule="auto"/>
        <w:rPr>
          <w:color w:val="auto"/>
          <w:sz w:val="21"/>
          <w:szCs w:val="21"/>
          <w:highlight w:val="none"/>
        </w:rPr>
      </w:pPr>
      <w:r>
        <w:rPr>
          <w:rFonts w:ascii="黑体" w:eastAsia="黑体"/>
          <w:color w:val="auto"/>
          <w:sz w:val="21"/>
          <w:szCs w:val="32"/>
          <w:highlight w:val="none"/>
        </w:rPr>
        <w:fldChar w:fldCharType="begin" w:fldLock="1"/>
      </w:r>
      <w:r>
        <w:rPr>
          <w:rFonts w:ascii="黑体" w:eastAsia="黑体"/>
          <w:color w:val="auto"/>
          <w:sz w:val="21"/>
          <w:szCs w:val="32"/>
          <w:highlight w:val="none"/>
        </w:rPr>
        <w:instrText xml:space="preserve"> HYPERLINK \l _Toc17519 </w:instrText>
      </w:r>
      <w:r>
        <w:rPr>
          <w:rFonts w:ascii="黑体" w:eastAsia="黑体"/>
          <w:color w:val="auto"/>
          <w:sz w:val="21"/>
          <w:szCs w:val="32"/>
          <w:highlight w:val="none"/>
        </w:rPr>
        <w:fldChar w:fldCharType="separate"/>
      </w:r>
      <w:r>
        <w:rPr>
          <w:rFonts w:hint="eastAsia" w:ascii="宋体" w:hAnsi="宋体"/>
          <w:color w:val="auto"/>
          <w:sz w:val="21"/>
          <w:szCs w:val="32"/>
          <w:highlight w:val="none"/>
        </w:rPr>
        <w:t>第三章 评审办法</w:t>
      </w:r>
      <w:r>
        <w:rPr>
          <w:color w:val="auto"/>
          <w:sz w:val="21"/>
          <w:szCs w:val="21"/>
          <w:highlight w:val="none"/>
        </w:rPr>
        <w:tab/>
      </w:r>
      <w:r>
        <w:rPr>
          <w:color w:val="auto"/>
          <w:sz w:val="21"/>
          <w:szCs w:val="21"/>
          <w:highlight w:val="none"/>
        </w:rPr>
        <w:fldChar w:fldCharType="begin" w:fldLock="1"/>
      </w:r>
      <w:r>
        <w:rPr>
          <w:color w:val="auto"/>
          <w:sz w:val="21"/>
          <w:szCs w:val="21"/>
          <w:highlight w:val="none"/>
        </w:rPr>
        <w:instrText xml:space="preserve"> PAGEREF _Toc17519 \h </w:instrText>
      </w:r>
      <w:r>
        <w:rPr>
          <w:color w:val="auto"/>
          <w:sz w:val="21"/>
          <w:szCs w:val="21"/>
          <w:highlight w:val="none"/>
        </w:rPr>
        <w:fldChar w:fldCharType="separate"/>
      </w:r>
      <w:r>
        <w:rPr>
          <w:color w:val="auto"/>
          <w:sz w:val="21"/>
          <w:szCs w:val="21"/>
          <w:highlight w:val="none"/>
        </w:rPr>
        <w:t>22</w:t>
      </w:r>
      <w:r>
        <w:rPr>
          <w:color w:val="auto"/>
          <w:sz w:val="21"/>
          <w:szCs w:val="21"/>
          <w:highlight w:val="none"/>
        </w:rPr>
        <w:fldChar w:fldCharType="end"/>
      </w:r>
      <w:r>
        <w:rPr>
          <w:rFonts w:ascii="黑体" w:eastAsia="黑体"/>
          <w:color w:val="auto"/>
          <w:sz w:val="21"/>
          <w:szCs w:val="32"/>
          <w:highlight w:val="none"/>
        </w:rPr>
        <w:fldChar w:fldCharType="end"/>
      </w:r>
    </w:p>
    <w:p w14:paraId="3F15113B">
      <w:pPr>
        <w:pStyle w:val="28"/>
        <w:tabs>
          <w:tab w:val="right" w:leader="dot" w:pos="8306"/>
        </w:tabs>
        <w:spacing w:line="360" w:lineRule="auto"/>
        <w:rPr>
          <w:color w:val="auto"/>
          <w:sz w:val="21"/>
          <w:szCs w:val="21"/>
          <w:highlight w:val="none"/>
        </w:rPr>
      </w:pPr>
      <w:r>
        <w:rPr>
          <w:rFonts w:ascii="黑体" w:eastAsia="黑体"/>
          <w:color w:val="auto"/>
          <w:sz w:val="21"/>
          <w:szCs w:val="32"/>
          <w:highlight w:val="none"/>
        </w:rPr>
        <w:fldChar w:fldCharType="begin" w:fldLock="1"/>
      </w:r>
      <w:r>
        <w:rPr>
          <w:rFonts w:ascii="黑体" w:eastAsia="黑体"/>
          <w:color w:val="auto"/>
          <w:sz w:val="21"/>
          <w:szCs w:val="32"/>
          <w:highlight w:val="none"/>
        </w:rPr>
        <w:instrText xml:space="preserve"> HYPERLINK \l _Toc5985 </w:instrText>
      </w:r>
      <w:r>
        <w:rPr>
          <w:rFonts w:ascii="黑体" w:eastAsia="黑体"/>
          <w:color w:val="auto"/>
          <w:sz w:val="21"/>
          <w:szCs w:val="32"/>
          <w:highlight w:val="none"/>
        </w:rPr>
        <w:fldChar w:fldCharType="separate"/>
      </w:r>
      <w:r>
        <w:rPr>
          <w:rFonts w:hint="eastAsia" w:ascii="宋体" w:hAnsi="宋体"/>
          <w:color w:val="auto"/>
          <w:sz w:val="21"/>
          <w:szCs w:val="32"/>
          <w:highlight w:val="none"/>
        </w:rPr>
        <w:t>第四章 用户需求书/技术规范书</w:t>
      </w:r>
      <w:r>
        <w:rPr>
          <w:color w:val="auto"/>
          <w:sz w:val="21"/>
          <w:szCs w:val="21"/>
          <w:highlight w:val="none"/>
        </w:rPr>
        <w:tab/>
      </w:r>
      <w:r>
        <w:rPr>
          <w:color w:val="auto"/>
          <w:sz w:val="21"/>
          <w:szCs w:val="21"/>
          <w:highlight w:val="none"/>
        </w:rPr>
        <w:fldChar w:fldCharType="begin" w:fldLock="1"/>
      </w:r>
      <w:r>
        <w:rPr>
          <w:color w:val="auto"/>
          <w:sz w:val="21"/>
          <w:szCs w:val="21"/>
          <w:highlight w:val="none"/>
        </w:rPr>
        <w:instrText xml:space="preserve"> PAGEREF _Toc5985 \h </w:instrText>
      </w:r>
      <w:r>
        <w:rPr>
          <w:color w:val="auto"/>
          <w:sz w:val="21"/>
          <w:szCs w:val="21"/>
          <w:highlight w:val="none"/>
        </w:rPr>
        <w:fldChar w:fldCharType="separate"/>
      </w:r>
      <w:r>
        <w:rPr>
          <w:color w:val="auto"/>
          <w:sz w:val="21"/>
          <w:szCs w:val="21"/>
          <w:highlight w:val="none"/>
        </w:rPr>
        <w:t>26</w:t>
      </w:r>
      <w:r>
        <w:rPr>
          <w:color w:val="auto"/>
          <w:sz w:val="21"/>
          <w:szCs w:val="21"/>
          <w:highlight w:val="none"/>
        </w:rPr>
        <w:fldChar w:fldCharType="end"/>
      </w:r>
      <w:r>
        <w:rPr>
          <w:rFonts w:ascii="黑体" w:eastAsia="黑体"/>
          <w:color w:val="auto"/>
          <w:sz w:val="21"/>
          <w:szCs w:val="32"/>
          <w:highlight w:val="none"/>
        </w:rPr>
        <w:fldChar w:fldCharType="end"/>
      </w:r>
    </w:p>
    <w:p w14:paraId="1F99B2C1">
      <w:pPr>
        <w:pStyle w:val="28"/>
        <w:tabs>
          <w:tab w:val="right" w:leader="dot" w:pos="8306"/>
        </w:tabs>
        <w:spacing w:line="360" w:lineRule="auto"/>
        <w:rPr>
          <w:color w:val="auto"/>
          <w:sz w:val="21"/>
          <w:szCs w:val="21"/>
          <w:highlight w:val="none"/>
        </w:rPr>
      </w:pPr>
      <w:r>
        <w:rPr>
          <w:rFonts w:ascii="黑体" w:eastAsia="黑体"/>
          <w:color w:val="auto"/>
          <w:sz w:val="21"/>
          <w:szCs w:val="32"/>
          <w:highlight w:val="none"/>
        </w:rPr>
        <w:fldChar w:fldCharType="begin" w:fldLock="1"/>
      </w:r>
      <w:r>
        <w:rPr>
          <w:rFonts w:ascii="黑体" w:eastAsia="黑体"/>
          <w:color w:val="auto"/>
          <w:sz w:val="21"/>
          <w:szCs w:val="32"/>
          <w:highlight w:val="none"/>
        </w:rPr>
        <w:instrText xml:space="preserve"> HYPERLINK \l _Toc18199 </w:instrText>
      </w:r>
      <w:r>
        <w:rPr>
          <w:rFonts w:ascii="黑体" w:eastAsia="黑体"/>
          <w:color w:val="auto"/>
          <w:sz w:val="21"/>
          <w:szCs w:val="32"/>
          <w:highlight w:val="none"/>
        </w:rPr>
        <w:fldChar w:fldCharType="separate"/>
      </w:r>
      <w:r>
        <w:rPr>
          <w:rFonts w:hint="eastAsia"/>
          <w:color w:val="auto"/>
          <w:sz w:val="21"/>
          <w:szCs w:val="32"/>
          <w:highlight w:val="none"/>
        </w:rPr>
        <w:t>第五章 合同条款格式</w:t>
      </w:r>
      <w:r>
        <w:rPr>
          <w:color w:val="auto"/>
          <w:sz w:val="21"/>
          <w:szCs w:val="21"/>
          <w:highlight w:val="none"/>
        </w:rPr>
        <w:tab/>
      </w:r>
      <w:r>
        <w:rPr>
          <w:color w:val="auto"/>
          <w:sz w:val="21"/>
          <w:szCs w:val="21"/>
          <w:highlight w:val="none"/>
        </w:rPr>
        <w:fldChar w:fldCharType="begin" w:fldLock="1"/>
      </w:r>
      <w:r>
        <w:rPr>
          <w:color w:val="auto"/>
          <w:sz w:val="21"/>
          <w:szCs w:val="21"/>
          <w:highlight w:val="none"/>
        </w:rPr>
        <w:instrText xml:space="preserve"> PAGEREF _Toc18199 \h </w:instrText>
      </w:r>
      <w:r>
        <w:rPr>
          <w:color w:val="auto"/>
          <w:sz w:val="21"/>
          <w:szCs w:val="21"/>
          <w:highlight w:val="none"/>
        </w:rPr>
        <w:fldChar w:fldCharType="separate"/>
      </w:r>
      <w:r>
        <w:rPr>
          <w:color w:val="auto"/>
          <w:sz w:val="21"/>
          <w:szCs w:val="21"/>
          <w:highlight w:val="none"/>
        </w:rPr>
        <w:t>31</w:t>
      </w:r>
      <w:r>
        <w:rPr>
          <w:color w:val="auto"/>
          <w:sz w:val="21"/>
          <w:szCs w:val="21"/>
          <w:highlight w:val="none"/>
        </w:rPr>
        <w:fldChar w:fldCharType="end"/>
      </w:r>
      <w:r>
        <w:rPr>
          <w:rFonts w:ascii="黑体" w:eastAsia="黑体"/>
          <w:color w:val="auto"/>
          <w:sz w:val="21"/>
          <w:szCs w:val="32"/>
          <w:highlight w:val="none"/>
        </w:rPr>
        <w:fldChar w:fldCharType="end"/>
      </w:r>
    </w:p>
    <w:p w14:paraId="2E86E5E3">
      <w:pPr>
        <w:pStyle w:val="28"/>
        <w:tabs>
          <w:tab w:val="right" w:leader="dot" w:pos="8306"/>
        </w:tabs>
        <w:spacing w:line="360" w:lineRule="auto"/>
        <w:rPr>
          <w:color w:val="auto"/>
          <w:sz w:val="21"/>
          <w:szCs w:val="21"/>
          <w:highlight w:val="none"/>
        </w:rPr>
      </w:pPr>
      <w:r>
        <w:rPr>
          <w:rFonts w:ascii="黑体" w:eastAsia="黑体"/>
          <w:color w:val="auto"/>
          <w:sz w:val="21"/>
          <w:szCs w:val="32"/>
          <w:highlight w:val="none"/>
        </w:rPr>
        <w:fldChar w:fldCharType="begin" w:fldLock="1"/>
      </w:r>
      <w:r>
        <w:rPr>
          <w:rFonts w:ascii="黑体" w:eastAsia="黑体"/>
          <w:color w:val="auto"/>
          <w:sz w:val="21"/>
          <w:szCs w:val="32"/>
          <w:highlight w:val="none"/>
        </w:rPr>
        <w:instrText xml:space="preserve"> HYPERLINK \l _Toc4498 </w:instrText>
      </w:r>
      <w:r>
        <w:rPr>
          <w:rFonts w:ascii="黑体" w:eastAsia="黑体"/>
          <w:color w:val="auto"/>
          <w:sz w:val="21"/>
          <w:szCs w:val="32"/>
          <w:highlight w:val="none"/>
        </w:rPr>
        <w:fldChar w:fldCharType="separate"/>
      </w:r>
      <w:r>
        <w:rPr>
          <w:rFonts w:hint="eastAsia" w:ascii="宋体" w:hAnsi="宋体"/>
          <w:color w:val="auto"/>
          <w:sz w:val="21"/>
          <w:szCs w:val="32"/>
          <w:highlight w:val="none"/>
        </w:rPr>
        <w:t>第六章 响应文件格式</w:t>
      </w:r>
      <w:r>
        <w:rPr>
          <w:color w:val="auto"/>
          <w:sz w:val="21"/>
          <w:szCs w:val="21"/>
          <w:highlight w:val="none"/>
        </w:rPr>
        <w:tab/>
      </w:r>
      <w:r>
        <w:rPr>
          <w:color w:val="auto"/>
          <w:sz w:val="21"/>
          <w:szCs w:val="21"/>
          <w:highlight w:val="none"/>
        </w:rPr>
        <w:fldChar w:fldCharType="begin" w:fldLock="1"/>
      </w:r>
      <w:r>
        <w:rPr>
          <w:color w:val="auto"/>
          <w:sz w:val="21"/>
          <w:szCs w:val="21"/>
          <w:highlight w:val="none"/>
        </w:rPr>
        <w:instrText xml:space="preserve"> PAGEREF _Toc4498 \h </w:instrText>
      </w:r>
      <w:r>
        <w:rPr>
          <w:color w:val="auto"/>
          <w:sz w:val="21"/>
          <w:szCs w:val="21"/>
          <w:highlight w:val="none"/>
        </w:rPr>
        <w:fldChar w:fldCharType="separate"/>
      </w:r>
      <w:r>
        <w:rPr>
          <w:color w:val="auto"/>
          <w:sz w:val="21"/>
          <w:szCs w:val="21"/>
          <w:highlight w:val="none"/>
        </w:rPr>
        <w:t>40</w:t>
      </w:r>
      <w:r>
        <w:rPr>
          <w:color w:val="auto"/>
          <w:sz w:val="21"/>
          <w:szCs w:val="21"/>
          <w:highlight w:val="none"/>
        </w:rPr>
        <w:fldChar w:fldCharType="end"/>
      </w:r>
      <w:r>
        <w:rPr>
          <w:rFonts w:ascii="黑体" w:eastAsia="黑体"/>
          <w:color w:val="auto"/>
          <w:sz w:val="21"/>
          <w:szCs w:val="32"/>
          <w:highlight w:val="none"/>
        </w:rPr>
        <w:fldChar w:fldCharType="end"/>
      </w:r>
    </w:p>
    <w:p w14:paraId="6289F12B">
      <w:pPr>
        <w:pStyle w:val="34"/>
        <w:tabs>
          <w:tab w:val="right" w:leader="dot" w:pos="8306"/>
        </w:tabs>
        <w:spacing w:line="360" w:lineRule="auto"/>
        <w:rPr>
          <w:color w:val="auto"/>
          <w:sz w:val="21"/>
          <w:szCs w:val="21"/>
          <w:highlight w:val="none"/>
        </w:rPr>
      </w:pPr>
      <w:r>
        <w:rPr>
          <w:rFonts w:ascii="黑体" w:eastAsia="黑体"/>
          <w:color w:val="auto"/>
          <w:sz w:val="21"/>
          <w:szCs w:val="32"/>
          <w:highlight w:val="none"/>
        </w:rPr>
        <w:fldChar w:fldCharType="begin" w:fldLock="1"/>
      </w:r>
      <w:r>
        <w:rPr>
          <w:rFonts w:ascii="黑体" w:eastAsia="黑体"/>
          <w:color w:val="auto"/>
          <w:sz w:val="21"/>
          <w:szCs w:val="32"/>
          <w:highlight w:val="none"/>
        </w:rPr>
        <w:instrText xml:space="preserve"> HYPERLINK \l _Toc20859 </w:instrText>
      </w:r>
      <w:r>
        <w:rPr>
          <w:rFonts w:ascii="黑体" w:eastAsia="黑体"/>
          <w:color w:val="auto"/>
          <w:sz w:val="21"/>
          <w:szCs w:val="32"/>
          <w:highlight w:val="none"/>
        </w:rPr>
        <w:fldChar w:fldCharType="separate"/>
      </w:r>
      <w:r>
        <w:rPr>
          <w:rFonts w:hint="eastAsia" w:ascii="黑体" w:hAnsi="宋体"/>
          <w:color w:val="auto"/>
          <w:sz w:val="21"/>
          <w:szCs w:val="32"/>
          <w:highlight w:val="none"/>
        </w:rPr>
        <w:t>目    录</w:t>
      </w:r>
      <w:r>
        <w:rPr>
          <w:color w:val="auto"/>
          <w:sz w:val="21"/>
          <w:szCs w:val="21"/>
          <w:highlight w:val="none"/>
        </w:rPr>
        <w:tab/>
      </w:r>
      <w:r>
        <w:rPr>
          <w:color w:val="auto"/>
          <w:sz w:val="21"/>
          <w:szCs w:val="21"/>
          <w:highlight w:val="none"/>
        </w:rPr>
        <w:fldChar w:fldCharType="begin" w:fldLock="1"/>
      </w:r>
      <w:r>
        <w:rPr>
          <w:color w:val="auto"/>
          <w:sz w:val="21"/>
          <w:szCs w:val="21"/>
          <w:highlight w:val="none"/>
        </w:rPr>
        <w:instrText xml:space="preserve"> PAGEREF _Toc20859 \h </w:instrText>
      </w:r>
      <w:r>
        <w:rPr>
          <w:color w:val="auto"/>
          <w:sz w:val="21"/>
          <w:szCs w:val="21"/>
          <w:highlight w:val="none"/>
        </w:rPr>
        <w:fldChar w:fldCharType="separate"/>
      </w:r>
      <w:r>
        <w:rPr>
          <w:color w:val="auto"/>
          <w:sz w:val="21"/>
          <w:szCs w:val="21"/>
          <w:highlight w:val="none"/>
        </w:rPr>
        <w:t>49</w:t>
      </w:r>
      <w:r>
        <w:rPr>
          <w:color w:val="auto"/>
          <w:sz w:val="21"/>
          <w:szCs w:val="21"/>
          <w:highlight w:val="none"/>
        </w:rPr>
        <w:fldChar w:fldCharType="end"/>
      </w:r>
      <w:r>
        <w:rPr>
          <w:rFonts w:ascii="黑体" w:eastAsia="黑体"/>
          <w:color w:val="auto"/>
          <w:sz w:val="21"/>
          <w:szCs w:val="32"/>
          <w:highlight w:val="none"/>
        </w:rPr>
        <w:fldChar w:fldCharType="end"/>
      </w:r>
    </w:p>
    <w:p w14:paraId="69279DBB">
      <w:pPr>
        <w:pStyle w:val="34"/>
        <w:tabs>
          <w:tab w:val="right" w:leader="dot" w:pos="8306"/>
        </w:tabs>
        <w:spacing w:line="360" w:lineRule="auto"/>
        <w:rPr>
          <w:color w:val="auto"/>
          <w:sz w:val="21"/>
          <w:szCs w:val="21"/>
          <w:highlight w:val="none"/>
        </w:rPr>
      </w:pPr>
      <w:r>
        <w:rPr>
          <w:rFonts w:ascii="黑体" w:eastAsia="黑体"/>
          <w:color w:val="auto"/>
          <w:sz w:val="21"/>
          <w:szCs w:val="32"/>
          <w:highlight w:val="none"/>
        </w:rPr>
        <w:fldChar w:fldCharType="begin" w:fldLock="1"/>
      </w:r>
      <w:r>
        <w:rPr>
          <w:rFonts w:ascii="黑体" w:eastAsia="黑体"/>
          <w:color w:val="auto"/>
          <w:sz w:val="21"/>
          <w:szCs w:val="32"/>
          <w:highlight w:val="none"/>
        </w:rPr>
        <w:instrText xml:space="preserve"> HYPERLINK \l _Toc28455 </w:instrText>
      </w:r>
      <w:r>
        <w:rPr>
          <w:rFonts w:ascii="黑体" w:eastAsia="黑体"/>
          <w:color w:val="auto"/>
          <w:sz w:val="21"/>
          <w:szCs w:val="32"/>
          <w:highlight w:val="none"/>
        </w:rPr>
        <w:fldChar w:fldCharType="separate"/>
      </w:r>
      <w:r>
        <w:rPr>
          <w:rFonts w:hint="eastAsia"/>
          <w:color w:val="auto"/>
          <w:sz w:val="21"/>
          <w:szCs w:val="21"/>
          <w:highlight w:val="none"/>
        </w:rPr>
        <w:t>第一部分</w:t>
      </w:r>
      <w:r>
        <w:rPr>
          <w:color w:val="auto"/>
          <w:sz w:val="21"/>
          <w:szCs w:val="21"/>
          <w:highlight w:val="none"/>
        </w:rPr>
        <w:t xml:space="preserve">  </w:t>
      </w:r>
      <w:r>
        <w:rPr>
          <w:rFonts w:hint="eastAsia"/>
          <w:color w:val="auto"/>
          <w:sz w:val="21"/>
          <w:szCs w:val="21"/>
          <w:highlight w:val="none"/>
        </w:rPr>
        <w:t>技术商务部分</w:t>
      </w:r>
      <w:r>
        <w:rPr>
          <w:color w:val="auto"/>
          <w:sz w:val="21"/>
          <w:szCs w:val="21"/>
          <w:highlight w:val="none"/>
        </w:rPr>
        <w:tab/>
      </w:r>
      <w:r>
        <w:rPr>
          <w:color w:val="auto"/>
          <w:sz w:val="21"/>
          <w:szCs w:val="21"/>
          <w:highlight w:val="none"/>
        </w:rPr>
        <w:fldChar w:fldCharType="begin" w:fldLock="1"/>
      </w:r>
      <w:r>
        <w:rPr>
          <w:color w:val="auto"/>
          <w:sz w:val="21"/>
          <w:szCs w:val="21"/>
          <w:highlight w:val="none"/>
        </w:rPr>
        <w:instrText xml:space="preserve"> PAGEREF _Toc28455 \h </w:instrText>
      </w:r>
      <w:r>
        <w:rPr>
          <w:color w:val="auto"/>
          <w:sz w:val="21"/>
          <w:szCs w:val="21"/>
          <w:highlight w:val="none"/>
        </w:rPr>
        <w:fldChar w:fldCharType="separate"/>
      </w:r>
      <w:r>
        <w:rPr>
          <w:color w:val="auto"/>
          <w:sz w:val="21"/>
          <w:szCs w:val="21"/>
          <w:highlight w:val="none"/>
        </w:rPr>
        <w:t>50</w:t>
      </w:r>
      <w:r>
        <w:rPr>
          <w:color w:val="auto"/>
          <w:sz w:val="21"/>
          <w:szCs w:val="21"/>
          <w:highlight w:val="none"/>
        </w:rPr>
        <w:fldChar w:fldCharType="end"/>
      </w:r>
      <w:r>
        <w:rPr>
          <w:rFonts w:ascii="黑体" w:eastAsia="黑体"/>
          <w:color w:val="auto"/>
          <w:sz w:val="21"/>
          <w:szCs w:val="32"/>
          <w:highlight w:val="none"/>
        </w:rPr>
        <w:fldChar w:fldCharType="end"/>
      </w:r>
    </w:p>
    <w:p w14:paraId="0B8B9590">
      <w:pPr>
        <w:pStyle w:val="34"/>
        <w:tabs>
          <w:tab w:val="right" w:leader="dot" w:pos="8306"/>
        </w:tabs>
        <w:spacing w:line="360" w:lineRule="auto"/>
        <w:rPr>
          <w:color w:val="auto"/>
          <w:sz w:val="21"/>
          <w:szCs w:val="21"/>
          <w:highlight w:val="none"/>
        </w:rPr>
      </w:pPr>
      <w:r>
        <w:rPr>
          <w:rFonts w:ascii="黑体" w:eastAsia="黑体"/>
          <w:color w:val="auto"/>
          <w:sz w:val="21"/>
          <w:szCs w:val="32"/>
          <w:highlight w:val="none"/>
        </w:rPr>
        <w:fldChar w:fldCharType="begin" w:fldLock="1"/>
      </w:r>
      <w:r>
        <w:rPr>
          <w:rFonts w:ascii="黑体" w:eastAsia="黑体"/>
          <w:color w:val="auto"/>
          <w:sz w:val="21"/>
          <w:szCs w:val="32"/>
          <w:highlight w:val="none"/>
        </w:rPr>
        <w:instrText xml:space="preserve"> HYPERLINK \l _Toc2970 </w:instrText>
      </w:r>
      <w:r>
        <w:rPr>
          <w:rFonts w:ascii="黑体" w:eastAsia="黑体"/>
          <w:color w:val="auto"/>
          <w:sz w:val="21"/>
          <w:szCs w:val="32"/>
          <w:highlight w:val="none"/>
        </w:rPr>
        <w:fldChar w:fldCharType="separate"/>
      </w:r>
      <w:r>
        <w:rPr>
          <w:rFonts w:hint="eastAsia"/>
          <w:color w:val="auto"/>
          <w:sz w:val="21"/>
          <w:szCs w:val="21"/>
          <w:highlight w:val="none"/>
        </w:rPr>
        <w:t>一、</w:t>
      </w:r>
      <w:r>
        <w:rPr>
          <w:rFonts w:hint="eastAsia" w:ascii="黑体" w:hAnsi="宋体"/>
          <w:color w:val="auto"/>
          <w:sz w:val="21"/>
          <w:szCs w:val="32"/>
          <w:highlight w:val="none"/>
        </w:rPr>
        <w:t>评审索引表</w:t>
      </w:r>
      <w:r>
        <w:rPr>
          <w:color w:val="auto"/>
          <w:sz w:val="21"/>
          <w:szCs w:val="21"/>
          <w:highlight w:val="none"/>
        </w:rPr>
        <w:tab/>
      </w:r>
      <w:r>
        <w:rPr>
          <w:color w:val="auto"/>
          <w:sz w:val="21"/>
          <w:szCs w:val="21"/>
          <w:highlight w:val="none"/>
        </w:rPr>
        <w:fldChar w:fldCharType="begin" w:fldLock="1"/>
      </w:r>
      <w:r>
        <w:rPr>
          <w:color w:val="auto"/>
          <w:sz w:val="21"/>
          <w:szCs w:val="21"/>
          <w:highlight w:val="none"/>
        </w:rPr>
        <w:instrText xml:space="preserve"> PAGEREF _Toc2970 \h </w:instrText>
      </w:r>
      <w:r>
        <w:rPr>
          <w:color w:val="auto"/>
          <w:sz w:val="21"/>
          <w:szCs w:val="21"/>
          <w:highlight w:val="none"/>
        </w:rPr>
        <w:fldChar w:fldCharType="separate"/>
      </w:r>
      <w:r>
        <w:rPr>
          <w:color w:val="auto"/>
          <w:sz w:val="21"/>
          <w:szCs w:val="21"/>
          <w:highlight w:val="none"/>
        </w:rPr>
        <w:t>50</w:t>
      </w:r>
      <w:r>
        <w:rPr>
          <w:color w:val="auto"/>
          <w:sz w:val="21"/>
          <w:szCs w:val="21"/>
          <w:highlight w:val="none"/>
        </w:rPr>
        <w:fldChar w:fldCharType="end"/>
      </w:r>
      <w:r>
        <w:rPr>
          <w:rFonts w:ascii="黑体" w:eastAsia="黑体"/>
          <w:color w:val="auto"/>
          <w:sz w:val="21"/>
          <w:szCs w:val="32"/>
          <w:highlight w:val="none"/>
        </w:rPr>
        <w:fldChar w:fldCharType="end"/>
      </w:r>
    </w:p>
    <w:p w14:paraId="74AFE671">
      <w:pPr>
        <w:pStyle w:val="34"/>
        <w:tabs>
          <w:tab w:val="right" w:leader="dot" w:pos="8306"/>
        </w:tabs>
        <w:spacing w:line="360" w:lineRule="auto"/>
        <w:rPr>
          <w:color w:val="auto"/>
          <w:sz w:val="21"/>
          <w:szCs w:val="21"/>
          <w:highlight w:val="none"/>
        </w:rPr>
      </w:pPr>
      <w:r>
        <w:rPr>
          <w:rFonts w:ascii="黑体" w:eastAsia="黑体"/>
          <w:color w:val="auto"/>
          <w:sz w:val="21"/>
          <w:szCs w:val="32"/>
          <w:highlight w:val="none"/>
        </w:rPr>
        <w:fldChar w:fldCharType="begin" w:fldLock="1"/>
      </w:r>
      <w:r>
        <w:rPr>
          <w:rFonts w:ascii="黑体" w:eastAsia="黑体"/>
          <w:color w:val="auto"/>
          <w:sz w:val="21"/>
          <w:szCs w:val="32"/>
          <w:highlight w:val="none"/>
        </w:rPr>
        <w:instrText xml:space="preserve"> HYPERLINK \l _Toc27847 </w:instrText>
      </w:r>
      <w:r>
        <w:rPr>
          <w:rFonts w:ascii="黑体" w:eastAsia="黑体"/>
          <w:color w:val="auto"/>
          <w:sz w:val="21"/>
          <w:szCs w:val="32"/>
          <w:highlight w:val="none"/>
        </w:rPr>
        <w:fldChar w:fldCharType="separate"/>
      </w:r>
      <w:r>
        <w:rPr>
          <w:rFonts w:hint="eastAsia"/>
          <w:color w:val="auto"/>
          <w:sz w:val="21"/>
          <w:szCs w:val="21"/>
          <w:highlight w:val="none"/>
        </w:rPr>
        <w:t>二</w:t>
      </w:r>
      <w:r>
        <w:rPr>
          <w:color w:val="auto"/>
          <w:sz w:val="21"/>
          <w:szCs w:val="21"/>
          <w:highlight w:val="none"/>
        </w:rPr>
        <w:t>、竞争性谈判</w:t>
      </w:r>
      <w:r>
        <w:rPr>
          <w:rFonts w:hint="eastAsia"/>
          <w:color w:val="auto"/>
          <w:sz w:val="21"/>
          <w:szCs w:val="21"/>
          <w:highlight w:val="none"/>
        </w:rPr>
        <w:t>响应</w:t>
      </w:r>
      <w:r>
        <w:rPr>
          <w:color w:val="auto"/>
          <w:sz w:val="21"/>
          <w:szCs w:val="21"/>
          <w:highlight w:val="none"/>
        </w:rPr>
        <w:t>函</w:t>
      </w:r>
      <w:r>
        <w:rPr>
          <w:color w:val="auto"/>
          <w:sz w:val="21"/>
          <w:szCs w:val="21"/>
          <w:highlight w:val="none"/>
        </w:rPr>
        <w:tab/>
      </w:r>
      <w:r>
        <w:rPr>
          <w:color w:val="auto"/>
          <w:sz w:val="21"/>
          <w:szCs w:val="21"/>
          <w:highlight w:val="none"/>
        </w:rPr>
        <w:fldChar w:fldCharType="begin" w:fldLock="1"/>
      </w:r>
      <w:r>
        <w:rPr>
          <w:color w:val="auto"/>
          <w:sz w:val="21"/>
          <w:szCs w:val="21"/>
          <w:highlight w:val="none"/>
        </w:rPr>
        <w:instrText xml:space="preserve"> PAGEREF _Toc27847 \h </w:instrText>
      </w:r>
      <w:r>
        <w:rPr>
          <w:color w:val="auto"/>
          <w:sz w:val="21"/>
          <w:szCs w:val="21"/>
          <w:highlight w:val="none"/>
        </w:rPr>
        <w:fldChar w:fldCharType="separate"/>
      </w:r>
      <w:r>
        <w:rPr>
          <w:color w:val="auto"/>
          <w:sz w:val="21"/>
          <w:szCs w:val="21"/>
          <w:highlight w:val="none"/>
        </w:rPr>
        <w:t>51</w:t>
      </w:r>
      <w:r>
        <w:rPr>
          <w:color w:val="auto"/>
          <w:sz w:val="21"/>
          <w:szCs w:val="21"/>
          <w:highlight w:val="none"/>
        </w:rPr>
        <w:fldChar w:fldCharType="end"/>
      </w:r>
      <w:r>
        <w:rPr>
          <w:rFonts w:ascii="黑体" w:eastAsia="黑体"/>
          <w:color w:val="auto"/>
          <w:sz w:val="21"/>
          <w:szCs w:val="32"/>
          <w:highlight w:val="none"/>
        </w:rPr>
        <w:fldChar w:fldCharType="end"/>
      </w:r>
    </w:p>
    <w:p w14:paraId="7EC6EB71">
      <w:pPr>
        <w:pStyle w:val="34"/>
        <w:tabs>
          <w:tab w:val="right" w:leader="dot" w:pos="8306"/>
        </w:tabs>
        <w:spacing w:line="360" w:lineRule="auto"/>
        <w:rPr>
          <w:color w:val="auto"/>
          <w:sz w:val="21"/>
          <w:szCs w:val="21"/>
          <w:highlight w:val="none"/>
        </w:rPr>
      </w:pPr>
      <w:r>
        <w:rPr>
          <w:rFonts w:ascii="黑体" w:eastAsia="黑体"/>
          <w:color w:val="auto"/>
          <w:sz w:val="21"/>
          <w:szCs w:val="32"/>
          <w:highlight w:val="none"/>
        </w:rPr>
        <w:fldChar w:fldCharType="begin" w:fldLock="1"/>
      </w:r>
      <w:r>
        <w:rPr>
          <w:rFonts w:ascii="黑体" w:eastAsia="黑体"/>
          <w:color w:val="auto"/>
          <w:sz w:val="21"/>
          <w:szCs w:val="32"/>
          <w:highlight w:val="none"/>
        </w:rPr>
        <w:instrText xml:space="preserve"> HYPERLINK \l _Toc8418 </w:instrText>
      </w:r>
      <w:r>
        <w:rPr>
          <w:rFonts w:ascii="黑体" w:eastAsia="黑体"/>
          <w:color w:val="auto"/>
          <w:sz w:val="21"/>
          <w:szCs w:val="32"/>
          <w:highlight w:val="none"/>
        </w:rPr>
        <w:fldChar w:fldCharType="separate"/>
      </w:r>
      <w:r>
        <w:rPr>
          <w:rFonts w:hint="eastAsia" w:ascii="黑体"/>
          <w:color w:val="auto"/>
          <w:sz w:val="21"/>
          <w:szCs w:val="21"/>
          <w:highlight w:val="none"/>
        </w:rPr>
        <w:t>三、联合体协议书（如有）</w:t>
      </w:r>
      <w:r>
        <w:rPr>
          <w:color w:val="auto"/>
          <w:sz w:val="21"/>
          <w:szCs w:val="21"/>
          <w:highlight w:val="none"/>
        </w:rPr>
        <w:tab/>
      </w:r>
      <w:r>
        <w:rPr>
          <w:color w:val="auto"/>
          <w:sz w:val="21"/>
          <w:szCs w:val="21"/>
          <w:highlight w:val="none"/>
        </w:rPr>
        <w:fldChar w:fldCharType="begin" w:fldLock="1"/>
      </w:r>
      <w:r>
        <w:rPr>
          <w:color w:val="auto"/>
          <w:sz w:val="21"/>
          <w:szCs w:val="21"/>
          <w:highlight w:val="none"/>
        </w:rPr>
        <w:instrText xml:space="preserve"> PAGEREF _Toc8418 \h </w:instrText>
      </w:r>
      <w:r>
        <w:rPr>
          <w:color w:val="auto"/>
          <w:sz w:val="21"/>
          <w:szCs w:val="21"/>
          <w:highlight w:val="none"/>
        </w:rPr>
        <w:fldChar w:fldCharType="separate"/>
      </w:r>
      <w:r>
        <w:rPr>
          <w:color w:val="auto"/>
          <w:sz w:val="21"/>
          <w:szCs w:val="21"/>
          <w:highlight w:val="none"/>
        </w:rPr>
        <w:t>52</w:t>
      </w:r>
      <w:r>
        <w:rPr>
          <w:color w:val="auto"/>
          <w:sz w:val="21"/>
          <w:szCs w:val="21"/>
          <w:highlight w:val="none"/>
        </w:rPr>
        <w:fldChar w:fldCharType="end"/>
      </w:r>
      <w:r>
        <w:rPr>
          <w:rFonts w:ascii="黑体" w:eastAsia="黑体"/>
          <w:color w:val="auto"/>
          <w:sz w:val="21"/>
          <w:szCs w:val="32"/>
          <w:highlight w:val="none"/>
        </w:rPr>
        <w:fldChar w:fldCharType="end"/>
      </w:r>
    </w:p>
    <w:p w14:paraId="68B40106">
      <w:pPr>
        <w:pStyle w:val="34"/>
        <w:tabs>
          <w:tab w:val="right" w:leader="dot" w:pos="8306"/>
        </w:tabs>
        <w:spacing w:line="360" w:lineRule="auto"/>
        <w:rPr>
          <w:color w:val="auto"/>
          <w:sz w:val="21"/>
          <w:szCs w:val="21"/>
          <w:highlight w:val="none"/>
        </w:rPr>
      </w:pPr>
      <w:r>
        <w:rPr>
          <w:rFonts w:ascii="黑体" w:eastAsia="黑体"/>
          <w:color w:val="auto"/>
          <w:sz w:val="21"/>
          <w:szCs w:val="32"/>
          <w:highlight w:val="none"/>
        </w:rPr>
        <w:fldChar w:fldCharType="begin" w:fldLock="1"/>
      </w:r>
      <w:r>
        <w:rPr>
          <w:rFonts w:ascii="黑体" w:eastAsia="黑体"/>
          <w:color w:val="auto"/>
          <w:sz w:val="21"/>
          <w:szCs w:val="32"/>
          <w:highlight w:val="none"/>
        </w:rPr>
        <w:instrText xml:space="preserve"> HYPERLINK \l _Toc19484 </w:instrText>
      </w:r>
      <w:r>
        <w:rPr>
          <w:rFonts w:ascii="黑体" w:eastAsia="黑体"/>
          <w:color w:val="auto"/>
          <w:sz w:val="21"/>
          <w:szCs w:val="32"/>
          <w:highlight w:val="none"/>
        </w:rPr>
        <w:fldChar w:fldCharType="separate"/>
      </w:r>
      <w:r>
        <w:rPr>
          <w:rFonts w:hint="eastAsia"/>
          <w:color w:val="auto"/>
          <w:sz w:val="21"/>
          <w:szCs w:val="21"/>
          <w:highlight w:val="none"/>
        </w:rPr>
        <w:t>四、法定代表人身份证明</w:t>
      </w:r>
      <w:r>
        <w:rPr>
          <w:color w:val="auto"/>
          <w:sz w:val="21"/>
          <w:szCs w:val="21"/>
          <w:highlight w:val="none"/>
        </w:rPr>
        <w:tab/>
      </w:r>
      <w:r>
        <w:rPr>
          <w:color w:val="auto"/>
          <w:sz w:val="21"/>
          <w:szCs w:val="21"/>
          <w:highlight w:val="none"/>
        </w:rPr>
        <w:fldChar w:fldCharType="begin" w:fldLock="1"/>
      </w:r>
      <w:r>
        <w:rPr>
          <w:color w:val="auto"/>
          <w:sz w:val="21"/>
          <w:szCs w:val="21"/>
          <w:highlight w:val="none"/>
        </w:rPr>
        <w:instrText xml:space="preserve"> PAGEREF _Toc19484 \h </w:instrText>
      </w:r>
      <w:r>
        <w:rPr>
          <w:color w:val="auto"/>
          <w:sz w:val="21"/>
          <w:szCs w:val="21"/>
          <w:highlight w:val="none"/>
        </w:rPr>
        <w:fldChar w:fldCharType="separate"/>
      </w:r>
      <w:r>
        <w:rPr>
          <w:color w:val="auto"/>
          <w:sz w:val="21"/>
          <w:szCs w:val="21"/>
          <w:highlight w:val="none"/>
        </w:rPr>
        <w:t>53</w:t>
      </w:r>
      <w:r>
        <w:rPr>
          <w:color w:val="auto"/>
          <w:sz w:val="21"/>
          <w:szCs w:val="21"/>
          <w:highlight w:val="none"/>
        </w:rPr>
        <w:fldChar w:fldCharType="end"/>
      </w:r>
      <w:r>
        <w:rPr>
          <w:rFonts w:ascii="黑体" w:eastAsia="黑体"/>
          <w:color w:val="auto"/>
          <w:sz w:val="21"/>
          <w:szCs w:val="32"/>
          <w:highlight w:val="none"/>
        </w:rPr>
        <w:fldChar w:fldCharType="end"/>
      </w:r>
    </w:p>
    <w:p w14:paraId="5A633AD5">
      <w:pPr>
        <w:pStyle w:val="34"/>
        <w:tabs>
          <w:tab w:val="right" w:leader="dot" w:pos="8306"/>
        </w:tabs>
        <w:spacing w:line="360" w:lineRule="auto"/>
        <w:rPr>
          <w:color w:val="auto"/>
          <w:sz w:val="21"/>
          <w:szCs w:val="21"/>
          <w:highlight w:val="none"/>
        </w:rPr>
      </w:pPr>
      <w:r>
        <w:rPr>
          <w:rFonts w:ascii="黑体" w:eastAsia="黑体"/>
          <w:color w:val="auto"/>
          <w:sz w:val="21"/>
          <w:szCs w:val="32"/>
          <w:highlight w:val="none"/>
        </w:rPr>
        <w:fldChar w:fldCharType="begin" w:fldLock="1"/>
      </w:r>
      <w:r>
        <w:rPr>
          <w:rFonts w:ascii="黑体" w:eastAsia="黑体"/>
          <w:color w:val="auto"/>
          <w:sz w:val="21"/>
          <w:szCs w:val="32"/>
          <w:highlight w:val="none"/>
        </w:rPr>
        <w:instrText xml:space="preserve"> HYPERLINK \l _Toc18550 </w:instrText>
      </w:r>
      <w:r>
        <w:rPr>
          <w:rFonts w:ascii="黑体" w:eastAsia="黑体"/>
          <w:color w:val="auto"/>
          <w:sz w:val="21"/>
          <w:szCs w:val="32"/>
          <w:highlight w:val="none"/>
        </w:rPr>
        <w:fldChar w:fldCharType="separate"/>
      </w:r>
      <w:r>
        <w:rPr>
          <w:rFonts w:hint="eastAsia"/>
          <w:color w:val="auto"/>
          <w:sz w:val="21"/>
          <w:szCs w:val="21"/>
          <w:highlight w:val="none"/>
        </w:rPr>
        <w:t>五、法定代表人</w:t>
      </w:r>
      <w:r>
        <w:rPr>
          <w:color w:val="auto"/>
          <w:sz w:val="21"/>
          <w:szCs w:val="21"/>
          <w:highlight w:val="none"/>
        </w:rPr>
        <w:t>授权委托书</w:t>
      </w:r>
      <w:r>
        <w:rPr>
          <w:color w:val="auto"/>
          <w:sz w:val="21"/>
          <w:szCs w:val="21"/>
          <w:highlight w:val="none"/>
        </w:rPr>
        <w:tab/>
      </w:r>
      <w:r>
        <w:rPr>
          <w:color w:val="auto"/>
          <w:sz w:val="21"/>
          <w:szCs w:val="21"/>
          <w:highlight w:val="none"/>
        </w:rPr>
        <w:fldChar w:fldCharType="begin" w:fldLock="1"/>
      </w:r>
      <w:r>
        <w:rPr>
          <w:color w:val="auto"/>
          <w:sz w:val="21"/>
          <w:szCs w:val="21"/>
          <w:highlight w:val="none"/>
        </w:rPr>
        <w:instrText xml:space="preserve"> PAGEREF _Toc18550 \h </w:instrText>
      </w:r>
      <w:r>
        <w:rPr>
          <w:color w:val="auto"/>
          <w:sz w:val="21"/>
          <w:szCs w:val="21"/>
          <w:highlight w:val="none"/>
        </w:rPr>
        <w:fldChar w:fldCharType="separate"/>
      </w:r>
      <w:r>
        <w:rPr>
          <w:color w:val="auto"/>
          <w:sz w:val="21"/>
          <w:szCs w:val="21"/>
          <w:highlight w:val="none"/>
        </w:rPr>
        <w:t>54</w:t>
      </w:r>
      <w:r>
        <w:rPr>
          <w:color w:val="auto"/>
          <w:sz w:val="21"/>
          <w:szCs w:val="21"/>
          <w:highlight w:val="none"/>
        </w:rPr>
        <w:fldChar w:fldCharType="end"/>
      </w:r>
      <w:r>
        <w:rPr>
          <w:rFonts w:ascii="黑体" w:eastAsia="黑体"/>
          <w:color w:val="auto"/>
          <w:sz w:val="21"/>
          <w:szCs w:val="32"/>
          <w:highlight w:val="none"/>
        </w:rPr>
        <w:fldChar w:fldCharType="end"/>
      </w:r>
    </w:p>
    <w:p w14:paraId="4D9684F6">
      <w:pPr>
        <w:pStyle w:val="34"/>
        <w:tabs>
          <w:tab w:val="right" w:leader="dot" w:pos="8306"/>
        </w:tabs>
        <w:spacing w:line="360" w:lineRule="auto"/>
        <w:rPr>
          <w:color w:val="auto"/>
          <w:sz w:val="21"/>
          <w:szCs w:val="21"/>
          <w:highlight w:val="none"/>
        </w:rPr>
      </w:pPr>
      <w:r>
        <w:rPr>
          <w:rFonts w:ascii="黑体" w:eastAsia="黑体"/>
          <w:color w:val="auto"/>
          <w:sz w:val="21"/>
          <w:szCs w:val="32"/>
          <w:highlight w:val="none"/>
        </w:rPr>
        <w:fldChar w:fldCharType="begin" w:fldLock="1"/>
      </w:r>
      <w:r>
        <w:rPr>
          <w:rFonts w:ascii="黑体" w:eastAsia="黑体"/>
          <w:color w:val="auto"/>
          <w:sz w:val="21"/>
          <w:szCs w:val="32"/>
          <w:highlight w:val="none"/>
        </w:rPr>
        <w:instrText xml:space="preserve"> HYPERLINK \l _Toc6978 </w:instrText>
      </w:r>
      <w:r>
        <w:rPr>
          <w:rFonts w:ascii="黑体" w:eastAsia="黑体"/>
          <w:color w:val="auto"/>
          <w:sz w:val="21"/>
          <w:szCs w:val="32"/>
          <w:highlight w:val="none"/>
        </w:rPr>
        <w:fldChar w:fldCharType="separate"/>
      </w:r>
      <w:r>
        <w:rPr>
          <w:rFonts w:hint="eastAsia"/>
          <w:color w:val="auto"/>
          <w:sz w:val="21"/>
          <w:szCs w:val="21"/>
          <w:highlight w:val="none"/>
        </w:rPr>
        <w:t>六</w:t>
      </w:r>
      <w:r>
        <w:rPr>
          <w:color w:val="auto"/>
          <w:sz w:val="21"/>
          <w:szCs w:val="21"/>
          <w:highlight w:val="none"/>
        </w:rPr>
        <w:t>、</w:t>
      </w:r>
      <w:r>
        <w:rPr>
          <w:rFonts w:hint="eastAsia"/>
          <w:color w:val="auto"/>
          <w:sz w:val="21"/>
          <w:szCs w:val="21"/>
          <w:highlight w:val="none"/>
        </w:rPr>
        <w:t>项目实施</w:t>
      </w:r>
      <w:r>
        <w:rPr>
          <w:color w:val="auto"/>
          <w:sz w:val="21"/>
          <w:szCs w:val="21"/>
          <w:highlight w:val="none"/>
        </w:rPr>
        <w:t>方案</w:t>
      </w:r>
      <w:r>
        <w:rPr>
          <w:color w:val="auto"/>
          <w:sz w:val="21"/>
          <w:szCs w:val="21"/>
          <w:highlight w:val="none"/>
        </w:rPr>
        <w:tab/>
      </w:r>
      <w:r>
        <w:rPr>
          <w:color w:val="auto"/>
          <w:sz w:val="21"/>
          <w:szCs w:val="21"/>
          <w:highlight w:val="none"/>
        </w:rPr>
        <w:fldChar w:fldCharType="begin" w:fldLock="1"/>
      </w:r>
      <w:r>
        <w:rPr>
          <w:color w:val="auto"/>
          <w:sz w:val="21"/>
          <w:szCs w:val="21"/>
          <w:highlight w:val="none"/>
        </w:rPr>
        <w:instrText xml:space="preserve"> PAGEREF _Toc6978 \h </w:instrText>
      </w:r>
      <w:r>
        <w:rPr>
          <w:color w:val="auto"/>
          <w:sz w:val="21"/>
          <w:szCs w:val="21"/>
          <w:highlight w:val="none"/>
        </w:rPr>
        <w:fldChar w:fldCharType="separate"/>
      </w:r>
      <w:r>
        <w:rPr>
          <w:color w:val="auto"/>
          <w:sz w:val="21"/>
          <w:szCs w:val="21"/>
          <w:highlight w:val="none"/>
        </w:rPr>
        <w:t>55</w:t>
      </w:r>
      <w:r>
        <w:rPr>
          <w:color w:val="auto"/>
          <w:sz w:val="21"/>
          <w:szCs w:val="21"/>
          <w:highlight w:val="none"/>
        </w:rPr>
        <w:fldChar w:fldCharType="end"/>
      </w:r>
      <w:r>
        <w:rPr>
          <w:rFonts w:ascii="黑体" w:eastAsia="黑体"/>
          <w:color w:val="auto"/>
          <w:sz w:val="21"/>
          <w:szCs w:val="32"/>
          <w:highlight w:val="none"/>
        </w:rPr>
        <w:fldChar w:fldCharType="end"/>
      </w:r>
    </w:p>
    <w:p w14:paraId="474DED54">
      <w:pPr>
        <w:pStyle w:val="34"/>
        <w:tabs>
          <w:tab w:val="right" w:leader="dot" w:pos="8306"/>
        </w:tabs>
        <w:spacing w:line="360" w:lineRule="auto"/>
        <w:rPr>
          <w:color w:val="auto"/>
          <w:sz w:val="21"/>
          <w:szCs w:val="21"/>
          <w:highlight w:val="none"/>
        </w:rPr>
      </w:pPr>
      <w:r>
        <w:rPr>
          <w:rFonts w:ascii="黑体" w:eastAsia="黑体"/>
          <w:color w:val="auto"/>
          <w:sz w:val="21"/>
          <w:szCs w:val="32"/>
          <w:highlight w:val="none"/>
        </w:rPr>
        <w:fldChar w:fldCharType="begin" w:fldLock="1"/>
      </w:r>
      <w:r>
        <w:rPr>
          <w:rFonts w:ascii="黑体" w:eastAsia="黑体"/>
          <w:color w:val="auto"/>
          <w:sz w:val="21"/>
          <w:szCs w:val="32"/>
          <w:highlight w:val="none"/>
        </w:rPr>
        <w:instrText xml:space="preserve"> HYPERLINK \l _Toc17796 </w:instrText>
      </w:r>
      <w:r>
        <w:rPr>
          <w:rFonts w:ascii="黑体" w:eastAsia="黑体"/>
          <w:color w:val="auto"/>
          <w:sz w:val="21"/>
          <w:szCs w:val="32"/>
          <w:highlight w:val="none"/>
        </w:rPr>
        <w:fldChar w:fldCharType="separate"/>
      </w:r>
      <w:r>
        <w:rPr>
          <w:rFonts w:hint="eastAsia"/>
          <w:color w:val="auto"/>
          <w:sz w:val="21"/>
          <w:szCs w:val="21"/>
          <w:highlight w:val="none"/>
        </w:rPr>
        <w:t>七</w:t>
      </w:r>
      <w:r>
        <w:rPr>
          <w:color w:val="auto"/>
          <w:sz w:val="21"/>
          <w:szCs w:val="21"/>
          <w:highlight w:val="none"/>
        </w:rPr>
        <w:t>、项目管理机构</w:t>
      </w:r>
      <w:r>
        <w:rPr>
          <w:color w:val="auto"/>
          <w:sz w:val="21"/>
          <w:szCs w:val="21"/>
          <w:highlight w:val="none"/>
        </w:rPr>
        <w:tab/>
      </w:r>
      <w:r>
        <w:rPr>
          <w:color w:val="auto"/>
          <w:sz w:val="21"/>
          <w:szCs w:val="21"/>
          <w:highlight w:val="none"/>
        </w:rPr>
        <w:fldChar w:fldCharType="begin" w:fldLock="1"/>
      </w:r>
      <w:r>
        <w:rPr>
          <w:color w:val="auto"/>
          <w:sz w:val="21"/>
          <w:szCs w:val="21"/>
          <w:highlight w:val="none"/>
        </w:rPr>
        <w:instrText xml:space="preserve"> PAGEREF _Toc17796 \h </w:instrText>
      </w:r>
      <w:r>
        <w:rPr>
          <w:color w:val="auto"/>
          <w:sz w:val="21"/>
          <w:szCs w:val="21"/>
          <w:highlight w:val="none"/>
        </w:rPr>
        <w:fldChar w:fldCharType="separate"/>
      </w:r>
      <w:r>
        <w:rPr>
          <w:color w:val="auto"/>
          <w:sz w:val="21"/>
          <w:szCs w:val="21"/>
          <w:highlight w:val="none"/>
        </w:rPr>
        <w:t>56</w:t>
      </w:r>
      <w:r>
        <w:rPr>
          <w:color w:val="auto"/>
          <w:sz w:val="21"/>
          <w:szCs w:val="21"/>
          <w:highlight w:val="none"/>
        </w:rPr>
        <w:fldChar w:fldCharType="end"/>
      </w:r>
      <w:r>
        <w:rPr>
          <w:rFonts w:ascii="黑体" w:eastAsia="黑体"/>
          <w:color w:val="auto"/>
          <w:sz w:val="21"/>
          <w:szCs w:val="32"/>
          <w:highlight w:val="none"/>
        </w:rPr>
        <w:fldChar w:fldCharType="end"/>
      </w:r>
    </w:p>
    <w:p w14:paraId="134C6A93">
      <w:pPr>
        <w:pStyle w:val="34"/>
        <w:tabs>
          <w:tab w:val="right" w:leader="dot" w:pos="8306"/>
        </w:tabs>
        <w:spacing w:line="360" w:lineRule="auto"/>
        <w:rPr>
          <w:color w:val="auto"/>
          <w:sz w:val="21"/>
          <w:szCs w:val="21"/>
          <w:highlight w:val="none"/>
        </w:rPr>
      </w:pPr>
      <w:r>
        <w:rPr>
          <w:rFonts w:ascii="黑体" w:eastAsia="黑体"/>
          <w:color w:val="auto"/>
          <w:sz w:val="21"/>
          <w:szCs w:val="32"/>
          <w:highlight w:val="none"/>
        </w:rPr>
        <w:fldChar w:fldCharType="begin" w:fldLock="1"/>
      </w:r>
      <w:r>
        <w:rPr>
          <w:rFonts w:ascii="黑体" w:eastAsia="黑体"/>
          <w:color w:val="auto"/>
          <w:sz w:val="21"/>
          <w:szCs w:val="32"/>
          <w:highlight w:val="none"/>
        </w:rPr>
        <w:instrText xml:space="preserve"> HYPERLINK \l _Toc12349 </w:instrText>
      </w:r>
      <w:r>
        <w:rPr>
          <w:rFonts w:ascii="黑体" w:eastAsia="黑体"/>
          <w:color w:val="auto"/>
          <w:sz w:val="21"/>
          <w:szCs w:val="32"/>
          <w:highlight w:val="none"/>
        </w:rPr>
        <w:fldChar w:fldCharType="separate"/>
      </w:r>
      <w:r>
        <w:rPr>
          <w:rFonts w:hint="eastAsia" w:ascii="黑体"/>
          <w:color w:val="auto"/>
          <w:sz w:val="21"/>
          <w:szCs w:val="21"/>
          <w:highlight w:val="none"/>
        </w:rPr>
        <w:t>八、实质性条款偏离表</w:t>
      </w:r>
      <w:r>
        <w:rPr>
          <w:color w:val="auto"/>
          <w:sz w:val="21"/>
          <w:szCs w:val="21"/>
          <w:highlight w:val="none"/>
        </w:rPr>
        <w:tab/>
      </w:r>
      <w:r>
        <w:rPr>
          <w:color w:val="auto"/>
          <w:sz w:val="21"/>
          <w:szCs w:val="21"/>
          <w:highlight w:val="none"/>
        </w:rPr>
        <w:fldChar w:fldCharType="begin" w:fldLock="1"/>
      </w:r>
      <w:r>
        <w:rPr>
          <w:color w:val="auto"/>
          <w:sz w:val="21"/>
          <w:szCs w:val="21"/>
          <w:highlight w:val="none"/>
        </w:rPr>
        <w:instrText xml:space="preserve"> PAGEREF _Toc12349 \h </w:instrText>
      </w:r>
      <w:r>
        <w:rPr>
          <w:color w:val="auto"/>
          <w:sz w:val="21"/>
          <w:szCs w:val="21"/>
          <w:highlight w:val="none"/>
        </w:rPr>
        <w:fldChar w:fldCharType="separate"/>
      </w:r>
      <w:r>
        <w:rPr>
          <w:color w:val="auto"/>
          <w:sz w:val="21"/>
          <w:szCs w:val="21"/>
          <w:highlight w:val="none"/>
        </w:rPr>
        <w:t>58</w:t>
      </w:r>
      <w:r>
        <w:rPr>
          <w:color w:val="auto"/>
          <w:sz w:val="21"/>
          <w:szCs w:val="21"/>
          <w:highlight w:val="none"/>
        </w:rPr>
        <w:fldChar w:fldCharType="end"/>
      </w:r>
      <w:r>
        <w:rPr>
          <w:rFonts w:ascii="黑体" w:eastAsia="黑体"/>
          <w:color w:val="auto"/>
          <w:sz w:val="21"/>
          <w:szCs w:val="32"/>
          <w:highlight w:val="none"/>
        </w:rPr>
        <w:fldChar w:fldCharType="end"/>
      </w:r>
    </w:p>
    <w:p w14:paraId="01F1C973">
      <w:pPr>
        <w:pStyle w:val="34"/>
        <w:tabs>
          <w:tab w:val="right" w:leader="dot" w:pos="8306"/>
        </w:tabs>
        <w:spacing w:line="360" w:lineRule="auto"/>
        <w:rPr>
          <w:color w:val="auto"/>
          <w:sz w:val="21"/>
          <w:szCs w:val="21"/>
          <w:highlight w:val="none"/>
        </w:rPr>
      </w:pPr>
      <w:r>
        <w:rPr>
          <w:rFonts w:ascii="黑体" w:eastAsia="黑体"/>
          <w:color w:val="auto"/>
          <w:sz w:val="21"/>
          <w:szCs w:val="32"/>
          <w:highlight w:val="none"/>
        </w:rPr>
        <w:fldChar w:fldCharType="begin" w:fldLock="1"/>
      </w:r>
      <w:r>
        <w:rPr>
          <w:rFonts w:ascii="黑体" w:eastAsia="黑体"/>
          <w:color w:val="auto"/>
          <w:sz w:val="21"/>
          <w:szCs w:val="32"/>
          <w:highlight w:val="none"/>
        </w:rPr>
        <w:instrText xml:space="preserve"> HYPERLINK \l _Toc32581 </w:instrText>
      </w:r>
      <w:r>
        <w:rPr>
          <w:rFonts w:ascii="黑体" w:eastAsia="黑体"/>
          <w:color w:val="auto"/>
          <w:sz w:val="21"/>
          <w:szCs w:val="32"/>
          <w:highlight w:val="none"/>
        </w:rPr>
        <w:fldChar w:fldCharType="separate"/>
      </w:r>
      <w:r>
        <w:rPr>
          <w:rFonts w:hint="eastAsia" w:ascii="黑体"/>
          <w:color w:val="auto"/>
          <w:sz w:val="21"/>
          <w:szCs w:val="21"/>
          <w:highlight w:val="none"/>
        </w:rPr>
        <w:t>九、技术条款偏离表</w:t>
      </w:r>
      <w:r>
        <w:rPr>
          <w:color w:val="auto"/>
          <w:sz w:val="21"/>
          <w:szCs w:val="21"/>
          <w:highlight w:val="none"/>
        </w:rPr>
        <w:tab/>
      </w:r>
      <w:r>
        <w:rPr>
          <w:color w:val="auto"/>
          <w:sz w:val="21"/>
          <w:szCs w:val="21"/>
          <w:highlight w:val="none"/>
        </w:rPr>
        <w:fldChar w:fldCharType="begin" w:fldLock="1"/>
      </w:r>
      <w:r>
        <w:rPr>
          <w:color w:val="auto"/>
          <w:sz w:val="21"/>
          <w:szCs w:val="21"/>
          <w:highlight w:val="none"/>
        </w:rPr>
        <w:instrText xml:space="preserve"> PAGEREF _Toc32581 \h </w:instrText>
      </w:r>
      <w:r>
        <w:rPr>
          <w:color w:val="auto"/>
          <w:sz w:val="21"/>
          <w:szCs w:val="21"/>
          <w:highlight w:val="none"/>
        </w:rPr>
        <w:fldChar w:fldCharType="separate"/>
      </w:r>
      <w:r>
        <w:rPr>
          <w:color w:val="auto"/>
          <w:sz w:val="21"/>
          <w:szCs w:val="21"/>
          <w:highlight w:val="none"/>
        </w:rPr>
        <w:t>59</w:t>
      </w:r>
      <w:r>
        <w:rPr>
          <w:color w:val="auto"/>
          <w:sz w:val="21"/>
          <w:szCs w:val="21"/>
          <w:highlight w:val="none"/>
        </w:rPr>
        <w:fldChar w:fldCharType="end"/>
      </w:r>
      <w:r>
        <w:rPr>
          <w:rFonts w:ascii="黑体" w:eastAsia="黑体"/>
          <w:color w:val="auto"/>
          <w:sz w:val="21"/>
          <w:szCs w:val="32"/>
          <w:highlight w:val="none"/>
        </w:rPr>
        <w:fldChar w:fldCharType="end"/>
      </w:r>
    </w:p>
    <w:p w14:paraId="7431AA8B">
      <w:pPr>
        <w:pStyle w:val="34"/>
        <w:tabs>
          <w:tab w:val="right" w:leader="dot" w:pos="8306"/>
        </w:tabs>
        <w:spacing w:line="360" w:lineRule="auto"/>
        <w:rPr>
          <w:color w:val="auto"/>
          <w:sz w:val="21"/>
          <w:szCs w:val="21"/>
          <w:highlight w:val="none"/>
        </w:rPr>
      </w:pPr>
      <w:r>
        <w:rPr>
          <w:rFonts w:ascii="黑体" w:eastAsia="黑体"/>
          <w:color w:val="auto"/>
          <w:sz w:val="21"/>
          <w:szCs w:val="32"/>
          <w:highlight w:val="none"/>
        </w:rPr>
        <w:fldChar w:fldCharType="begin" w:fldLock="1"/>
      </w:r>
      <w:r>
        <w:rPr>
          <w:rFonts w:ascii="黑体" w:eastAsia="黑体"/>
          <w:color w:val="auto"/>
          <w:sz w:val="21"/>
          <w:szCs w:val="32"/>
          <w:highlight w:val="none"/>
        </w:rPr>
        <w:instrText xml:space="preserve"> HYPERLINK \l _Toc16773 </w:instrText>
      </w:r>
      <w:r>
        <w:rPr>
          <w:rFonts w:ascii="黑体" w:eastAsia="黑体"/>
          <w:color w:val="auto"/>
          <w:sz w:val="21"/>
          <w:szCs w:val="32"/>
          <w:highlight w:val="none"/>
        </w:rPr>
        <w:fldChar w:fldCharType="separate"/>
      </w:r>
      <w:r>
        <w:rPr>
          <w:rFonts w:hint="eastAsia"/>
          <w:color w:val="auto"/>
          <w:sz w:val="21"/>
          <w:szCs w:val="21"/>
          <w:highlight w:val="none"/>
        </w:rPr>
        <w:t>十</w:t>
      </w:r>
      <w:r>
        <w:rPr>
          <w:color w:val="auto"/>
          <w:sz w:val="21"/>
          <w:szCs w:val="21"/>
          <w:highlight w:val="none"/>
        </w:rPr>
        <w:t>、资格审查资料</w:t>
      </w:r>
      <w:r>
        <w:rPr>
          <w:color w:val="auto"/>
          <w:sz w:val="21"/>
          <w:szCs w:val="21"/>
          <w:highlight w:val="none"/>
        </w:rPr>
        <w:tab/>
      </w:r>
      <w:r>
        <w:rPr>
          <w:color w:val="auto"/>
          <w:sz w:val="21"/>
          <w:szCs w:val="21"/>
          <w:highlight w:val="none"/>
        </w:rPr>
        <w:fldChar w:fldCharType="begin" w:fldLock="1"/>
      </w:r>
      <w:r>
        <w:rPr>
          <w:color w:val="auto"/>
          <w:sz w:val="21"/>
          <w:szCs w:val="21"/>
          <w:highlight w:val="none"/>
        </w:rPr>
        <w:instrText xml:space="preserve"> PAGEREF _Toc16773 \h </w:instrText>
      </w:r>
      <w:r>
        <w:rPr>
          <w:color w:val="auto"/>
          <w:sz w:val="21"/>
          <w:szCs w:val="21"/>
          <w:highlight w:val="none"/>
        </w:rPr>
        <w:fldChar w:fldCharType="separate"/>
      </w:r>
      <w:r>
        <w:rPr>
          <w:color w:val="auto"/>
          <w:sz w:val="21"/>
          <w:szCs w:val="21"/>
          <w:highlight w:val="none"/>
        </w:rPr>
        <w:t>60</w:t>
      </w:r>
      <w:r>
        <w:rPr>
          <w:color w:val="auto"/>
          <w:sz w:val="21"/>
          <w:szCs w:val="21"/>
          <w:highlight w:val="none"/>
        </w:rPr>
        <w:fldChar w:fldCharType="end"/>
      </w:r>
      <w:r>
        <w:rPr>
          <w:rFonts w:ascii="黑体" w:eastAsia="黑体"/>
          <w:color w:val="auto"/>
          <w:sz w:val="21"/>
          <w:szCs w:val="32"/>
          <w:highlight w:val="none"/>
        </w:rPr>
        <w:fldChar w:fldCharType="end"/>
      </w:r>
    </w:p>
    <w:p w14:paraId="6CD4A1E7">
      <w:pPr>
        <w:pStyle w:val="34"/>
        <w:tabs>
          <w:tab w:val="right" w:leader="dot" w:pos="8306"/>
        </w:tabs>
        <w:spacing w:line="360" w:lineRule="auto"/>
        <w:rPr>
          <w:color w:val="auto"/>
          <w:sz w:val="21"/>
          <w:szCs w:val="21"/>
          <w:highlight w:val="none"/>
        </w:rPr>
      </w:pPr>
      <w:r>
        <w:rPr>
          <w:rFonts w:ascii="黑体" w:eastAsia="黑体"/>
          <w:color w:val="auto"/>
          <w:sz w:val="21"/>
          <w:szCs w:val="32"/>
          <w:highlight w:val="none"/>
        </w:rPr>
        <w:fldChar w:fldCharType="begin" w:fldLock="1"/>
      </w:r>
      <w:r>
        <w:rPr>
          <w:rFonts w:ascii="黑体" w:eastAsia="黑体"/>
          <w:color w:val="auto"/>
          <w:sz w:val="21"/>
          <w:szCs w:val="32"/>
          <w:highlight w:val="none"/>
        </w:rPr>
        <w:instrText xml:space="preserve"> HYPERLINK \l _Toc5610 </w:instrText>
      </w:r>
      <w:r>
        <w:rPr>
          <w:rFonts w:ascii="黑体" w:eastAsia="黑体"/>
          <w:color w:val="auto"/>
          <w:sz w:val="21"/>
          <w:szCs w:val="32"/>
          <w:highlight w:val="none"/>
        </w:rPr>
        <w:fldChar w:fldCharType="separate"/>
      </w:r>
      <w:r>
        <w:rPr>
          <w:rFonts w:hint="eastAsia"/>
          <w:color w:val="auto"/>
          <w:sz w:val="21"/>
          <w:szCs w:val="21"/>
          <w:highlight w:val="none"/>
          <w:lang w:val="en-US" w:eastAsia="zh-CN"/>
        </w:rPr>
        <w:t>十一、不可撤销履约保函</w:t>
      </w:r>
      <w:r>
        <w:rPr>
          <w:color w:val="auto"/>
          <w:sz w:val="21"/>
          <w:szCs w:val="21"/>
          <w:highlight w:val="none"/>
        </w:rPr>
        <w:tab/>
      </w:r>
      <w:r>
        <w:rPr>
          <w:color w:val="auto"/>
          <w:sz w:val="21"/>
          <w:szCs w:val="21"/>
          <w:highlight w:val="none"/>
        </w:rPr>
        <w:fldChar w:fldCharType="begin" w:fldLock="1"/>
      </w:r>
      <w:r>
        <w:rPr>
          <w:color w:val="auto"/>
          <w:sz w:val="21"/>
          <w:szCs w:val="21"/>
          <w:highlight w:val="none"/>
        </w:rPr>
        <w:instrText xml:space="preserve"> PAGEREF _Toc5610 \h </w:instrText>
      </w:r>
      <w:r>
        <w:rPr>
          <w:color w:val="auto"/>
          <w:sz w:val="21"/>
          <w:szCs w:val="21"/>
          <w:highlight w:val="none"/>
        </w:rPr>
        <w:fldChar w:fldCharType="separate"/>
      </w:r>
      <w:r>
        <w:rPr>
          <w:color w:val="auto"/>
          <w:sz w:val="21"/>
          <w:szCs w:val="21"/>
          <w:highlight w:val="none"/>
        </w:rPr>
        <w:t>61</w:t>
      </w:r>
      <w:r>
        <w:rPr>
          <w:color w:val="auto"/>
          <w:sz w:val="21"/>
          <w:szCs w:val="21"/>
          <w:highlight w:val="none"/>
        </w:rPr>
        <w:fldChar w:fldCharType="end"/>
      </w:r>
      <w:r>
        <w:rPr>
          <w:rFonts w:ascii="黑体" w:eastAsia="黑体"/>
          <w:color w:val="auto"/>
          <w:sz w:val="21"/>
          <w:szCs w:val="32"/>
          <w:highlight w:val="none"/>
        </w:rPr>
        <w:fldChar w:fldCharType="end"/>
      </w:r>
    </w:p>
    <w:p w14:paraId="459D0937">
      <w:pPr>
        <w:pStyle w:val="34"/>
        <w:tabs>
          <w:tab w:val="right" w:leader="dot" w:pos="8306"/>
        </w:tabs>
        <w:spacing w:line="360" w:lineRule="auto"/>
        <w:rPr>
          <w:color w:val="auto"/>
          <w:sz w:val="21"/>
          <w:szCs w:val="21"/>
          <w:highlight w:val="none"/>
        </w:rPr>
      </w:pPr>
      <w:r>
        <w:rPr>
          <w:rFonts w:ascii="黑体" w:eastAsia="黑体"/>
          <w:color w:val="auto"/>
          <w:sz w:val="21"/>
          <w:szCs w:val="32"/>
          <w:highlight w:val="none"/>
        </w:rPr>
        <w:fldChar w:fldCharType="begin" w:fldLock="1"/>
      </w:r>
      <w:r>
        <w:rPr>
          <w:rFonts w:ascii="黑体" w:eastAsia="黑体"/>
          <w:color w:val="auto"/>
          <w:sz w:val="21"/>
          <w:szCs w:val="32"/>
          <w:highlight w:val="none"/>
        </w:rPr>
        <w:instrText xml:space="preserve"> HYPERLINK \l _Toc3001 </w:instrText>
      </w:r>
      <w:r>
        <w:rPr>
          <w:rFonts w:ascii="黑体" w:eastAsia="黑体"/>
          <w:color w:val="auto"/>
          <w:sz w:val="21"/>
          <w:szCs w:val="32"/>
          <w:highlight w:val="none"/>
        </w:rPr>
        <w:fldChar w:fldCharType="separate"/>
      </w:r>
      <w:r>
        <w:rPr>
          <w:rFonts w:hint="eastAsia"/>
          <w:color w:val="auto"/>
          <w:sz w:val="21"/>
          <w:szCs w:val="21"/>
          <w:highlight w:val="none"/>
        </w:rPr>
        <w:t>十</w:t>
      </w:r>
      <w:r>
        <w:rPr>
          <w:rFonts w:hint="eastAsia"/>
          <w:color w:val="auto"/>
          <w:sz w:val="21"/>
          <w:szCs w:val="21"/>
          <w:highlight w:val="none"/>
          <w:lang w:val="en-US" w:eastAsia="zh-CN"/>
        </w:rPr>
        <w:t>二</w:t>
      </w:r>
      <w:r>
        <w:rPr>
          <w:color w:val="auto"/>
          <w:sz w:val="21"/>
          <w:szCs w:val="21"/>
          <w:highlight w:val="none"/>
        </w:rPr>
        <w:t>、</w:t>
      </w:r>
      <w:r>
        <w:rPr>
          <w:rFonts w:hint="eastAsia"/>
          <w:color w:val="auto"/>
          <w:sz w:val="21"/>
          <w:szCs w:val="21"/>
          <w:highlight w:val="none"/>
        </w:rPr>
        <w:t>其他需要补充的</w:t>
      </w:r>
      <w:r>
        <w:rPr>
          <w:color w:val="auto"/>
          <w:sz w:val="21"/>
          <w:szCs w:val="21"/>
          <w:highlight w:val="none"/>
        </w:rPr>
        <w:t>资料</w:t>
      </w:r>
      <w:r>
        <w:rPr>
          <w:color w:val="auto"/>
          <w:sz w:val="21"/>
          <w:szCs w:val="21"/>
          <w:highlight w:val="none"/>
        </w:rPr>
        <w:tab/>
      </w:r>
      <w:r>
        <w:rPr>
          <w:color w:val="auto"/>
          <w:sz w:val="21"/>
          <w:szCs w:val="21"/>
          <w:highlight w:val="none"/>
        </w:rPr>
        <w:fldChar w:fldCharType="begin" w:fldLock="1"/>
      </w:r>
      <w:r>
        <w:rPr>
          <w:color w:val="auto"/>
          <w:sz w:val="21"/>
          <w:szCs w:val="21"/>
          <w:highlight w:val="none"/>
        </w:rPr>
        <w:instrText xml:space="preserve"> PAGEREF _Toc3001 \h </w:instrText>
      </w:r>
      <w:r>
        <w:rPr>
          <w:color w:val="auto"/>
          <w:sz w:val="21"/>
          <w:szCs w:val="21"/>
          <w:highlight w:val="none"/>
        </w:rPr>
        <w:fldChar w:fldCharType="separate"/>
      </w:r>
      <w:r>
        <w:rPr>
          <w:color w:val="auto"/>
          <w:sz w:val="21"/>
          <w:szCs w:val="21"/>
          <w:highlight w:val="none"/>
        </w:rPr>
        <w:t>62</w:t>
      </w:r>
      <w:r>
        <w:rPr>
          <w:color w:val="auto"/>
          <w:sz w:val="21"/>
          <w:szCs w:val="21"/>
          <w:highlight w:val="none"/>
        </w:rPr>
        <w:fldChar w:fldCharType="end"/>
      </w:r>
      <w:r>
        <w:rPr>
          <w:rFonts w:ascii="黑体" w:eastAsia="黑体"/>
          <w:color w:val="auto"/>
          <w:sz w:val="21"/>
          <w:szCs w:val="32"/>
          <w:highlight w:val="none"/>
        </w:rPr>
        <w:fldChar w:fldCharType="end"/>
      </w:r>
    </w:p>
    <w:p w14:paraId="193EB7EF">
      <w:pPr>
        <w:pStyle w:val="34"/>
        <w:tabs>
          <w:tab w:val="right" w:leader="dot" w:pos="8306"/>
        </w:tabs>
        <w:spacing w:line="360" w:lineRule="auto"/>
        <w:rPr>
          <w:color w:val="auto"/>
          <w:sz w:val="21"/>
          <w:szCs w:val="21"/>
          <w:highlight w:val="none"/>
        </w:rPr>
      </w:pPr>
      <w:r>
        <w:rPr>
          <w:rFonts w:ascii="黑体" w:eastAsia="黑体"/>
          <w:color w:val="auto"/>
          <w:sz w:val="21"/>
          <w:szCs w:val="32"/>
          <w:highlight w:val="none"/>
        </w:rPr>
        <w:fldChar w:fldCharType="begin" w:fldLock="1"/>
      </w:r>
      <w:r>
        <w:rPr>
          <w:rFonts w:ascii="黑体" w:eastAsia="黑体"/>
          <w:color w:val="auto"/>
          <w:sz w:val="21"/>
          <w:szCs w:val="32"/>
          <w:highlight w:val="none"/>
        </w:rPr>
        <w:instrText xml:space="preserve"> HYPERLINK \l _Toc17415 </w:instrText>
      </w:r>
      <w:r>
        <w:rPr>
          <w:rFonts w:ascii="黑体" w:eastAsia="黑体"/>
          <w:color w:val="auto"/>
          <w:sz w:val="21"/>
          <w:szCs w:val="32"/>
          <w:highlight w:val="none"/>
        </w:rPr>
        <w:fldChar w:fldCharType="separate"/>
      </w:r>
      <w:r>
        <w:rPr>
          <w:rFonts w:hint="eastAsia"/>
          <w:color w:val="auto"/>
          <w:sz w:val="21"/>
          <w:szCs w:val="21"/>
          <w:highlight w:val="none"/>
        </w:rPr>
        <w:t>第二部分</w:t>
      </w:r>
      <w:r>
        <w:rPr>
          <w:color w:val="auto"/>
          <w:sz w:val="21"/>
          <w:szCs w:val="21"/>
          <w:highlight w:val="none"/>
        </w:rPr>
        <w:t xml:space="preserve">  </w:t>
      </w:r>
      <w:r>
        <w:rPr>
          <w:rFonts w:hint="eastAsia"/>
          <w:color w:val="auto"/>
          <w:sz w:val="21"/>
          <w:szCs w:val="21"/>
          <w:highlight w:val="none"/>
        </w:rPr>
        <w:t>经济部分</w:t>
      </w:r>
      <w:r>
        <w:rPr>
          <w:color w:val="auto"/>
          <w:sz w:val="21"/>
          <w:szCs w:val="21"/>
          <w:highlight w:val="none"/>
        </w:rPr>
        <w:tab/>
      </w:r>
      <w:r>
        <w:rPr>
          <w:color w:val="auto"/>
          <w:sz w:val="21"/>
          <w:szCs w:val="21"/>
          <w:highlight w:val="none"/>
        </w:rPr>
        <w:fldChar w:fldCharType="begin" w:fldLock="1"/>
      </w:r>
      <w:r>
        <w:rPr>
          <w:color w:val="auto"/>
          <w:sz w:val="21"/>
          <w:szCs w:val="21"/>
          <w:highlight w:val="none"/>
        </w:rPr>
        <w:instrText xml:space="preserve"> PAGEREF _Toc17415 \h </w:instrText>
      </w:r>
      <w:r>
        <w:rPr>
          <w:color w:val="auto"/>
          <w:sz w:val="21"/>
          <w:szCs w:val="21"/>
          <w:highlight w:val="none"/>
        </w:rPr>
        <w:fldChar w:fldCharType="separate"/>
      </w:r>
      <w:r>
        <w:rPr>
          <w:color w:val="auto"/>
          <w:sz w:val="21"/>
          <w:szCs w:val="21"/>
          <w:highlight w:val="none"/>
        </w:rPr>
        <w:t>63</w:t>
      </w:r>
      <w:r>
        <w:rPr>
          <w:color w:val="auto"/>
          <w:sz w:val="21"/>
          <w:szCs w:val="21"/>
          <w:highlight w:val="none"/>
        </w:rPr>
        <w:fldChar w:fldCharType="end"/>
      </w:r>
      <w:r>
        <w:rPr>
          <w:rFonts w:ascii="黑体" w:eastAsia="黑体"/>
          <w:color w:val="auto"/>
          <w:sz w:val="21"/>
          <w:szCs w:val="32"/>
          <w:highlight w:val="none"/>
        </w:rPr>
        <w:fldChar w:fldCharType="end"/>
      </w:r>
    </w:p>
    <w:p w14:paraId="408F571B">
      <w:pPr>
        <w:pStyle w:val="34"/>
        <w:tabs>
          <w:tab w:val="right" w:leader="dot" w:pos="8306"/>
        </w:tabs>
        <w:spacing w:line="360" w:lineRule="auto"/>
        <w:rPr>
          <w:color w:val="auto"/>
          <w:sz w:val="21"/>
          <w:szCs w:val="21"/>
          <w:highlight w:val="none"/>
        </w:rPr>
      </w:pPr>
      <w:r>
        <w:rPr>
          <w:rFonts w:ascii="黑体" w:eastAsia="黑体"/>
          <w:color w:val="auto"/>
          <w:sz w:val="21"/>
          <w:szCs w:val="32"/>
          <w:highlight w:val="none"/>
        </w:rPr>
        <w:fldChar w:fldCharType="begin" w:fldLock="1"/>
      </w:r>
      <w:r>
        <w:rPr>
          <w:rFonts w:ascii="黑体" w:eastAsia="黑体"/>
          <w:color w:val="auto"/>
          <w:sz w:val="21"/>
          <w:szCs w:val="32"/>
          <w:highlight w:val="none"/>
        </w:rPr>
        <w:instrText xml:space="preserve"> HYPERLINK \l _Toc13792 </w:instrText>
      </w:r>
      <w:r>
        <w:rPr>
          <w:rFonts w:ascii="黑体" w:eastAsia="黑体"/>
          <w:color w:val="auto"/>
          <w:sz w:val="21"/>
          <w:szCs w:val="32"/>
          <w:highlight w:val="none"/>
        </w:rPr>
        <w:fldChar w:fldCharType="separate"/>
      </w:r>
      <w:r>
        <w:rPr>
          <w:rFonts w:hint="eastAsia" w:ascii="黑体" w:hAnsi="Times New Roman"/>
          <w:bCs w:val="0"/>
          <w:color w:val="auto"/>
          <w:sz w:val="21"/>
          <w:szCs w:val="32"/>
          <w:highlight w:val="none"/>
        </w:rPr>
        <w:t>一、报价一览表</w:t>
      </w:r>
      <w:r>
        <w:rPr>
          <w:color w:val="auto"/>
          <w:sz w:val="21"/>
          <w:szCs w:val="21"/>
          <w:highlight w:val="none"/>
        </w:rPr>
        <w:tab/>
      </w:r>
      <w:r>
        <w:rPr>
          <w:color w:val="auto"/>
          <w:sz w:val="21"/>
          <w:szCs w:val="21"/>
          <w:highlight w:val="none"/>
        </w:rPr>
        <w:fldChar w:fldCharType="begin" w:fldLock="1"/>
      </w:r>
      <w:r>
        <w:rPr>
          <w:color w:val="auto"/>
          <w:sz w:val="21"/>
          <w:szCs w:val="21"/>
          <w:highlight w:val="none"/>
        </w:rPr>
        <w:instrText xml:space="preserve"> PAGEREF _Toc13792 \h </w:instrText>
      </w:r>
      <w:r>
        <w:rPr>
          <w:color w:val="auto"/>
          <w:sz w:val="21"/>
          <w:szCs w:val="21"/>
          <w:highlight w:val="none"/>
        </w:rPr>
        <w:fldChar w:fldCharType="separate"/>
      </w:r>
      <w:r>
        <w:rPr>
          <w:color w:val="auto"/>
          <w:sz w:val="21"/>
          <w:szCs w:val="21"/>
          <w:highlight w:val="none"/>
        </w:rPr>
        <w:t>63</w:t>
      </w:r>
      <w:r>
        <w:rPr>
          <w:color w:val="auto"/>
          <w:sz w:val="21"/>
          <w:szCs w:val="21"/>
          <w:highlight w:val="none"/>
        </w:rPr>
        <w:fldChar w:fldCharType="end"/>
      </w:r>
      <w:r>
        <w:rPr>
          <w:rFonts w:ascii="黑体" w:eastAsia="黑体"/>
          <w:color w:val="auto"/>
          <w:sz w:val="21"/>
          <w:szCs w:val="32"/>
          <w:highlight w:val="none"/>
        </w:rPr>
        <w:fldChar w:fldCharType="end"/>
      </w:r>
    </w:p>
    <w:p w14:paraId="404ADDA9">
      <w:pPr>
        <w:pStyle w:val="34"/>
        <w:tabs>
          <w:tab w:val="right" w:leader="dot" w:pos="8306"/>
        </w:tabs>
        <w:spacing w:line="360" w:lineRule="auto"/>
        <w:rPr>
          <w:color w:val="auto"/>
          <w:sz w:val="21"/>
          <w:szCs w:val="21"/>
          <w:highlight w:val="none"/>
        </w:rPr>
      </w:pPr>
      <w:r>
        <w:rPr>
          <w:rFonts w:ascii="黑体" w:eastAsia="黑体"/>
          <w:color w:val="auto"/>
          <w:sz w:val="21"/>
          <w:szCs w:val="32"/>
          <w:highlight w:val="none"/>
        </w:rPr>
        <w:fldChar w:fldCharType="begin" w:fldLock="1"/>
      </w:r>
      <w:r>
        <w:rPr>
          <w:rFonts w:ascii="黑体" w:eastAsia="黑体"/>
          <w:color w:val="auto"/>
          <w:sz w:val="21"/>
          <w:szCs w:val="32"/>
          <w:highlight w:val="none"/>
        </w:rPr>
        <w:instrText xml:space="preserve"> HYPERLINK \l _Toc6200 </w:instrText>
      </w:r>
      <w:r>
        <w:rPr>
          <w:rFonts w:ascii="黑体" w:eastAsia="黑体"/>
          <w:color w:val="auto"/>
          <w:sz w:val="21"/>
          <w:szCs w:val="32"/>
          <w:highlight w:val="none"/>
        </w:rPr>
        <w:fldChar w:fldCharType="separate"/>
      </w:r>
      <w:r>
        <w:rPr>
          <w:rFonts w:hint="eastAsia" w:ascii="黑体" w:hAnsi="Times New Roman"/>
          <w:bCs w:val="0"/>
          <w:color w:val="auto"/>
          <w:sz w:val="21"/>
          <w:szCs w:val="32"/>
          <w:highlight w:val="none"/>
        </w:rPr>
        <w:t>二、分项报价表</w:t>
      </w:r>
      <w:r>
        <w:rPr>
          <w:color w:val="auto"/>
          <w:sz w:val="21"/>
          <w:szCs w:val="21"/>
          <w:highlight w:val="none"/>
        </w:rPr>
        <w:tab/>
      </w:r>
      <w:r>
        <w:rPr>
          <w:color w:val="auto"/>
          <w:sz w:val="21"/>
          <w:szCs w:val="21"/>
          <w:highlight w:val="none"/>
        </w:rPr>
        <w:fldChar w:fldCharType="begin" w:fldLock="1"/>
      </w:r>
      <w:r>
        <w:rPr>
          <w:color w:val="auto"/>
          <w:sz w:val="21"/>
          <w:szCs w:val="21"/>
          <w:highlight w:val="none"/>
        </w:rPr>
        <w:instrText xml:space="preserve"> PAGEREF _Toc6200 \h </w:instrText>
      </w:r>
      <w:r>
        <w:rPr>
          <w:color w:val="auto"/>
          <w:sz w:val="21"/>
          <w:szCs w:val="21"/>
          <w:highlight w:val="none"/>
        </w:rPr>
        <w:fldChar w:fldCharType="separate"/>
      </w:r>
      <w:r>
        <w:rPr>
          <w:color w:val="auto"/>
          <w:sz w:val="21"/>
          <w:szCs w:val="21"/>
          <w:highlight w:val="none"/>
        </w:rPr>
        <w:t>64</w:t>
      </w:r>
      <w:r>
        <w:rPr>
          <w:color w:val="auto"/>
          <w:sz w:val="21"/>
          <w:szCs w:val="21"/>
          <w:highlight w:val="none"/>
        </w:rPr>
        <w:fldChar w:fldCharType="end"/>
      </w:r>
      <w:r>
        <w:rPr>
          <w:rFonts w:ascii="黑体" w:eastAsia="黑体"/>
          <w:color w:val="auto"/>
          <w:sz w:val="21"/>
          <w:szCs w:val="32"/>
          <w:highlight w:val="none"/>
        </w:rPr>
        <w:fldChar w:fldCharType="end"/>
      </w:r>
    </w:p>
    <w:p w14:paraId="385B3040">
      <w:pPr>
        <w:pStyle w:val="34"/>
        <w:tabs>
          <w:tab w:val="right" w:leader="dot" w:pos="8306"/>
        </w:tabs>
        <w:spacing w:line="360" w:lineRule="auto"/>
        <w:rPr>
          <w:color w:val="auto"/>
          <w:sz w:val="21"/>
          <w:szCs w:val="21"/>
          <w:highlight w:val="none"/>
        </w:rPr>
      </w:pPr>
      <w:r>
        <w:rPr>
          <w:rFonts w:ascii="黑体" w:eastAsia="黑体"/>
          <w:color w:val="auto"/>
          <w:sz w:val="21"/>
          <w:szCs w:val="32"/>
          <w:highlight w:val="none"/>
        </w:rPr>
        <w:fldChar w:fldCharType="begin" w:fldLock="1"/>
      </w:r>
      <w:r>
        <w:rPr>
          <w:rFonts w:ascii="黑体" w:eastAsia="黑体"/>
          <w:color w:val="auto"/>
          <w:sz w:val="21"/>
          <w:szCs w:val="32"/>
          <w:highlight w:val="none"/>
        </w:rPr>
        <w:instrText xml:space="preserve"> HYPERLINK \l _Toc28919 </w:instrText>
      </w:r>
      <w:r>
        <w:rPr>
          <w:rFonts w:ascii="黑体" w:eastAsia="黑体"/>
          <w:color w:val="auto"/>
          <w:sz w:val="21"/>
          <w:szCs w:val="32"/>
          <w:highlight w:val="none"/>
        </w:rPr>
        <w:fldChar w:fldCharType="separate"/>
      </w:r>
      <w:r>
        <w:rPr>
          <w:rFonts w:hint="eastAsia"/>
          <w:color w:val="auto"/>
          <w:sz w:val="21"/>
          <w:szCs w:val="21"/>
          <w:highlight w:val="none"/>
        </w:rPr>
        <w:t>第三部分</w:t>
      </w:r>
      <w:r>
        <w:rPr>
          <w:color w:val="auto"/>
          <w:sz w:val="21"/>
          <w:szCs w:val="21"/>
          <w:highlight w:val="none"/>
        </w:rPr>
        <w:t xml:space="preserve">  </w:t>
      </w:r>
      <w:r>
        <w:rPr>
          <w:rFonts w:hint="eastAsia"/>
          <w:color w:val="auto"/>
          <w:sz w:val="21"/>
          <w:szCs w:val="21"/>
          <w:highlight w:val="none"/>
        </w:rPr>
        <w:t>唱标信封（单独密封）</w:t>
      </w:r>
      <w:r>
        <w:rPr>
          <w:color w:val="auto"/>
          <w:sz w:val="21"/>
          <w:szCs w:val="21"/>
          <w:highlight w:val="none"/>
        </w:rPr>
        <w:tab/>
      </w:r>
      <w:r>
        <w:rPr>
          <w:color w:val="auto"/>
          <w:sz w:val="21"/>
          <w:szCs w:val="21"/>
          <w:highlight w:val="none"/>
        </w:rPr>
        <w:fldChar w:fldCharType="begin" w:fldLock="1"/>
      </w:r>
      <w:r>
        <w:rPr>
          <w:color w:val="auto"/>
          <w:sz w:val="21"/>
          <w:szCs w:val="21"/>
          <w:highlight w:val="none"/>
        </w:rPr>
        <w:instrText xml:space="preserve"> PAGEREF _Toc28919 \h </w:instrText>
      </w:r>
      <w:r>
        <w:rPr>
          <w:color w:val="auto"/>
          <w:sz w:val="21"/>
          <w:szCs w:val="21"/>
          <w:highlight w:val="none"/>
        </w:rPr>
        <w:fldChar w:fldCharType="separate"/>
      </w:r>
      <w:r>
        <w:rPr>
          <w:color w:val="auto"/>
          <w:sz w:val="21"/>
          <w:szCs w:val="21"/>
          <w:highlight w:val="none"/>
        </w:rPr>
        <w:t>65</w:t>
      </w:r>
      <w:r>
        <w:rPr>
          <w:color w:val="auto"/>
          <w:sz w:val="21"/>
          <w:szCs w:val="21"/>
          <w:highlight w:val="none"/>
        </w:rPr>
        <w:fldChar w:fldCharType="end"/>
      </w:r>
      <w:r>
        <w:rPr>
          <w:rFonts w:ascii="黑体" w:eastAsia="黑体"/>
          <w:color w:val="auto"/>
          <w:sz w:val="21"/>
          <w:szCs w:val="32"/>
          <w:highlight w:val="none"/>
        </w:rPr>
        <w:fldChar w:fldCharType="end"/>
      </w:r>
    </w:p>
    <w:p w14:paraId="07D9D72C">
      <w:pPr>
        <w:spacing w:line="360" w:lineRule="auto"/>
        <w:rPr>
          <w:rFonts w:ascii="黑体" w:eastAsia="黑体"/>
          <w:color w:val="auto"/>
          <w:sz w:val="28"/>
          <w:szCs w:val="28"/>
          <w:highlight w:val="none"/>
        </w:rPr>
      </w:pPr>
      <w:r>
        <w:rPr>
          <w:rFonts w:ascii="黑体" w:eastAsia="黑体"/>
          <w:color w:val="auto"/>
          <w:sz w:val="22"/>
          <w:szCs w:val="32"/>
          <w:highlight w:val="none"/>
        </w:rPr>
        <w:fldChar w:fldCharType="end"/>
      </w:r>
    </w:p>
    <w:p w14:paraId="446A14E7">
      <w:pPr>
        <w:jc w:val="center"/>
        <w:rPr>
          <w:rFonts w:ascii="黑体" w:eastAsia="黑体"/>
          <w:color w:val="auto"/>
          <w:sz w:val="28"/>
          <w:szCs w:val="28"/>
          <w:highlight w:val="none"/>
        </w:rPr>
      </w:pPr>
    </w:p>
    <w:p w14:paraId="3D2C6A0F">
      <w:pPr>
        <w:jc w:val="center"/>
        <w:rPr>
          <w:rFonts w:ascii="黑体" w:eastAsia="黑体"/>
          <w:color w:val="auto"/>
          <w:sz w:val="28"/>
          <w:szCs w:val="28"/>
          <w:highlight w:val="none"/>
        </w:rPr>
      </w:pPr>
    </w:p>
    <w:p w14:paraId="5DC1999D">
      <w:pPr>
        <w:rPr>
          <w:rFonts w:ascii="黑体" w:eastAsia="黑体"/>
          <w:color w:val="auto"/>
          <w:sz w:val="28"/>
          <w:szCs w:val="28"/>
          <w:highlight w:val="none"/>
        </w:rPr>
      </w:pPr>
    </w:p>
    <w:p w14:paraId="1B3AAC9C">
      <w:pPr>
        <w:pStyle w:val="71"/>
        <w:rPr>
          <w:rFonts w:ascii="宋体" w:hAnsi="宋体" w:eastAsia="宋体" w:cs="宋体"/>
          <w:b/>
          <w:color w:val="auto"/>
          <w:kern w:val="0"/>
          <w:sz w:val="28"/>
          <w:szCs w:val="28"/>
          <w:highlight w:val="none"/>
        </w:rPr>
        <w:sectPr>
          <w:footerReference r:id="rId3" w:type="default"/>
          <w:pgSz w:w="11906" w:h="16838"/>
          <w:pgMar w:top="1440" w:right="1800" w:bottom="1440" w:left="1800" w:header="851" w:footer="992" w:gutter="0"/>
          <w:cols w:space="720" w:num="1"/>
          <w:docGrid w:type="lines" w:linePitch="312" w:charSpace="0"/>
        </w:sectPr>
      </w:pPr>
      <w:bookmarkStart w:id="0" w:name="_Toc456551871"/>
      <w:bookmarkStart w:id="1" w:name="_Toc227057880"/>
    </w:p>
    <w:p w14:paraId="3CB49753">
      <w:pPr>
        <w:pStyle w:val="71"/>
        <w:pageBreakBefore w:val="0"/>
        <w:widowControl w:val="0"/>
        <w:kinsoku/>
        <w:wordWrap/>
        <w:overflowPunct/>
        <w:topLinePunct w:val="0"/>
        <w:autoSpaceDE/>
        <w:autoSpaceDN/>
        <w:bidi w:val="0"/>
        <w:adjustRightInd w:val="0"/>
        <w:snapToGrid w:val="0"/>
        <w:spacing w:line="240" w:lineRule="auto"/>
        <w:textAlignment w:val="auto"/>
        <w:rPr>
          <w:rFonts w:ascii="宋体" w:hAnsi="宋体" w:eastAsia="宋体" w:cs="宋体"/>
          <w:b/>
          <w:color w:val="auto"/>
          <w:kern w:val="0"/>
          <w:sz w:val="28"/>
          <w:szCs w:val="28"/>
          <w:highlight w:val="none"/>
        </w:rPr>
      </w:pPr>
      <w:bookmarkStart w:id="2" w:name="_Toc8202"/>
      <w:bookmarkStart w:id="224" w:name="_GoBack"/>
      <w:bookmarkEnd w:id="224"/>
      <w:r>
        <w:rPr>
          <w:rFonts w:hint="eastAsia" w:ascii="宋体" w:hAnsi="宋体" w:eastAsia="宋体" w:cs="宋体"/>
          <w:b/>
          <w:color w:val="auto"/>
          <w:kern w:val="0"/>
          <w:sz w:val="28"/>
          <w:szCs w:val="28"/>
          <w:highlight w:val="none"/>
        </w:rPr>
        <w:t>第</w:t>
      </w:r>
      <w:r>
        <w:rPr>
          <w:rFonts w:ascii="宋体" w:hAnsi="宋体" w:eastAsia="宋体" w:cs="宋体"/>
          <w:b/>
          <w:color w:val="auto"/>
          <w:kern w:val="0"/>
          <w:sz w:val="28"/>
          <w:szCs w:val="28"/>
          <w:highlight w:val="none"/>
        </w:rPr>
        <w:t>一章  竞争性谈判公告</w:t>
      </w:r>
      <w:bookmarkEnd w:id="2"/>
    </w:p>
    <w:p w14:paraId="2BF2B4F9">
      <w:pPr>
        <w:pageBreakBefore w:val="0"/>
        <w:widowControl w:val="0"/>
        <w:kinsoku/>
        <w:wordWrap/>
        <w:overflowPunct/>
        <w:topLinePunct w:val="0"/>
        <w:autoSpaceDE/>
        <w:autoSpaceDN/>
        <w:bidi w:val="0"/>
        <w:adjustRightInd w:val="0"/>
        <w:snapToGrid w:val="0"/>
        <w:spacing w:line="240" w:lineRule="auto"/>
        <w:jc w:val="center"/>
        <w:textAlignment w:val="auto"/>
        <w:rPr>
          <w:rFonts w:ascii="黑体" w:hAnsi="黑体" w:eastAsia="黑体" w:cs="宋体"/>
          <w:color w:val="auto"/>
          <w:sz w:val="28"/>
          <w:szCs w:val="28"/>
          <w:highlight w:val="none"/>
        </w:rPr>
      </w:pPr>
      <w:r>
        <w:rPr>
          <w:rFonts w:ascii="黑体" w:hAnsi="黑体" w:eastAsia="黑体" w:cs="宋体"/>
          <w:color w:val="auto"/>
          <w:sz w:val="28"/>
          <w:szCs w:val="28"/>
          <w:highlight w:val="none"/>
        </w:rPr>
        <w:t xml:space="preserve"> [</w:t>
      </w:r>
      <w:r>
        <w:rPr>
          <w:rFonts w:hint="eastAsia" w:ascii="黑体" w:eastAsia="黑体"/>
          <w:color w:val="auto"/>
          <w:sz w:val="28"/>
          <w:szCs w:val="28"/>
          <w:highlight w:val="none"/>
          <w:u w:val="single"/>
          <w:lang w:eastAsia="zh-CN"/>
        </w:rPr>
        <w:t>织金高原泉水务有限公司35%股权、债权资产包整体转让中介服务采购项目</w:t>
      </w:r>
      <w:r>
        <w:rPr>
          <w:rFonts w:ascii="黑体" w:hAnsi="黑体" w:eastAsia="黑体" w:cs="宋体"/>
          <w:color w:val="auto"/>
          <w:sz w:val="28"/>
          <w:szCs w:val="28"/>
          <w:highlight w:val="none"/>
        </w:rPr>
        <w:t xml:space="preserve">]竞争性谈判公告 </w:t>
      </w:r>
    </w:p>
    <w:p w14:paraId="24531CD3">
      <w:pPr>
        <w:spacing w:line="440" w:lineRule="exact"/>
        <w:jc w:val="center"/>
        <w:rPr>
          <w:rFonts w:ascii="黑体" w:hAnsi="黑体" w:eastAsia="黑体" w:cs="宋体"/>
          <w:color w:val="auto"/>
          <w:sz w:val="28"/>
          <w:szCs w:val="28"/>
          <w:highlight w:val="none"/>
        </w:rPr>
      </w:pPr>
    </w:p>
    <w:p w14:paraId="2E9DAC36">
      <w:pPr>
        <w:spacing w:after="1" w:line="360" w:lineRule="auto"/>
        <w:ind w:left="-14" w:right="162" w:firstLine="630"/>
        <w:rPr>
          <w:color w:val="auto"/>
          <w:highlight w:val="none"/>
        </w:rPr>
      </w:pPr>
      <w:r>
        <w:rPr>
          <w:color w:val="auto"/>
          <w:highlight w:val="none"/>
          <w:u w:val="single"/>
        </w:rPr>
        <w:t xml:space="preserve"> </w:t>
      </w:r>
      <w:r>
        <w:rPr>
          <w:rFonts w:hint="eastAsia"/>
          <w:color w:val="auto"/>
          <w:highlight w:val="none"/>
          <w:u w:val="single"/>
          <w:lang w:eastAsia="zh-CN"/>
        </w:rPr>
        <w:t>织金高原泉水务有限公司35%股权、债权资产包整体转让中介服务采购项目</w:t>
      </w:r>
      <w:r>
        <w:rPr>
          <w:color w:val="auto"/>
          <w:highlight w:val="none"/>
          <w:u w:val="single"/>
        </w:rPr>
        <w:t xml:space="preserve"> </w:t>
      </w:r>
      <w:r>
        <w:rPr>
          <w:color w:val="auto"/>
          <w:highlight w:val="none"/>
        </w:rPr>
        <w:t>采购人为</w:t>
      </w:r>
      <w:r>
        <w:rPr>
          <w:color w:val="auto"/>
          <w:highlight w:val="none"/>
          <w:u w:val="single"/>
        </w:rPr>
        <w:t xml:space="preserve">  </w:t>
      </w:r>
      <w:r>
        <w:rPr>
          <w:rFonts w:hint="eastAsia"/>
          <w:color w:val="auto"/>
          <w:highlight w:val="none"/>
          <w:u w:val="single"/>
        </w:rPr>
        <w:t>广东新网工程技术有限公司</w:t>
      </w:r>
      <w:r>
        <w:rPr>
          <w:color w:val="auto"/>
          <w:highlight w:val="none"/>
          <w:u w:val="single"/>
        </w:rPr>
        <w:t xml:space="preserve"> </w:t>
      </w:r>
      <w:r>
        <w:rPr>
          <w:color w:val="auto"/>
          <w:highlight w:val="none"/>
        </w:rPr>
        <w:t>，采购代理机构为</w:t>
      </w:r>
      <w:r>
        <w:rPr>
          <w:color w:val="auto"/>
          <w:highlight w:val="none"/>
          <w:u w:val="single"/>
        </w:rPr>
        <w:t xml:space="preserve">  </w:t>
      </w:r>
      <w:r>
        <w:rPr>
          <w:rFonts w:hint="eastAsia"/>
          <w:color w:val="auto"/>
          <w:highlight w:val="none"/>
          <w:u w:val="single"/>
          <w:lang w:eastAsia="zh-CN"/>
        </w:rPr>
        <w:t>广东政通招标有限公司</w:t>
      </w:r>
      <w:r>
        <w:rPr>
          <w:color w:val="auto"/>
          <w:highlight w:val="none"/>
          <w:u w:val="single"/>
        </w:rPr>
        <w:t xml:space="preserve"> </w:t>
      </w:r>
      <w:r>
        <w:rPr>
          <w:rFonts w:hint="eastAsia"/>
          <w:color w:val="auto"/>
          <w:highlight w:val="none"/>
        </w:rPr>
        <w:t>，</w:t>
      </w:r>
      <w:r>
        <w:rPr>
          <w:color w:val="auto"/>
          <w:highlight w:val="none"/>
        </w:rPr>
        <w:t>已具备竞争性谈判条件，现进行公开竞争性谈判。</w:t>
      </w:r>
    </w:p>
    <w:p w14:paraId="4341A05C">
      <w:pPr>
        <w:spacing w:line="360" w:lineRule="auto"/>
        <w:rPr>
          <w:rFonts w:ascii="黑体" w:eastAsia="黑体"/>
          <w:b/>
          <w:color w:val="auto"/>
          <w:sz w:val="28"/>
          <w:szCs w:val="28"/>
          <w:highlight w:val="none"/>
        </w:rPr>
      </w:pPr>
      <w:r>
        <w:rPr>
          <w:rFonts w:ascii="黑体" w:eastAsia="黑体"/>
          <w:b/>
          <w:color w:val="auto"/>
          <w:sz w:val="28"/>
          <w:szCs w:val="28"/>
          <w:highlight w:val="none"/>
        </w:rPr>
        <w:t xml:space="preserve">一、 </w:t>
      </w:r>
      <w:r>
        <w:rPr>
          <w:rFonts w:hint="eastAsia" w:ascii="黑体" w:eastAsia="黑体"/>
          <w:b/>
          <w:color w:val="auto"/>
          <w:sz w:val="28"/>
          <w:szCs w:val="28"/>
          <w:highlight w:val="none"/>
        </w:rPr>
        <w:t>项目名称及</w:t>
      </w:r>
      <w:r>
        <w:rPr>
          <w:rFonts w:ascii="黑体" w:eastAsia="黑体"/>
          <w:b/>
          <w:color w:val="auto"/>
          <w:sz w:val="28"/>
          <w:szCs w:val="28"/>
          <w:highlight w:val="none"/>
        </w:rPr>
        <w:t xml:space="preserve">采购内容 </w:t>
      </w:r>
    </w:p>
    <w:p w14:paraId="4270F1AF">
      <w:pPr>
        <w:numPr>
          <w:ilvl w:val="1"/>
          <w:numId w:val="2"/>
        </w:numPr>
        <w:spacing w:line="360" w:lineRule="auto"/>
        <w:ind w:left="0" w:firstLine="425"/>
        <w:rPr>
          <w:rFonts w:ascii="宋体" w:hAnsi="宋体"/>
          <w:color w:val="auto"/>
          <w:szCs w:val="21"/>
          <w:highlight w:val="none"/>
        </w:rPr>
      </w:pPr>
      <w:r>
        <w:rPr>
          <w:rFonts w:hint="eastAsia" w:ascii="宋体" w:hAnsi="宋体"/>
          <w:color w:val="auto"/>
          <w:szCs w:val="21"/>
          <w:highlight w:val="none"/>
        </w:rPr>
        <w:t>项目名称：</w:t>
      </w:r>
      <w:r>
        <w:rPr>
          <w:rFonts w:hint="eastAsia" w:ascii="宋体" w:hAnsi="宋体"/>
          <w:color w:val="auto"/>
          <w:szCs w:val="21"/>
          <w:highlight w:val="none"/>
          <w:u w:val="single"/>
        </w:rPr>
        <w:t xml:space="preserve"> </w:t>
      </w:r>
      <w:r>
        <w:rPr>
          <w:rFonts w:hint="eastAsia"/>
          <w:color w:val="auto"/>
          <w:highlight w:val="none"/>
          <w:u w:val="single"/>
          <w:lang w:eastAsia="zh-CN"/>
        </w:rPr>
        <w:t>织金高原泉水务有限公司35%股权、债权资产包整体转让中介服务采购项目</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0550032A">
      <w:pPr>
        <w:numPr>
          <w:ilvl w:val="1"/>
          <w:numId w:val="2"/>
        </w:numPr>
        <w:spacing w:line="360" w:lineRule="auto"/>
        <w:ind w:left="0" w:firstLine="425"/>
        <w:rPr>
          <w:rFonts w:ascii="宋体" w:hAnsi="宋体"/>
          <w:color w:val="auto"/>
          <w:szCs w:val="21"/>
          <w:highlight w:val="none"/>
        </w:rPr>
      </w:pPr>
      <w:r>
        <w:rPr>
          <w:rFonts w:hint="eastAsia" w:ascii="宋体" w:hAnsi="宋体"/>
          <w:color w:val="auto"/>
          <w:szCs w:val="21"/>
          <w:highlight w:val="none"/>
        </w:rPr>
        <w:t>采购范围：</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标包1：股权价值评估； 标包2：清产核资审计</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4B1A190F">
      <w:pPr>
        <w:numPr>
          <w:ilvl w:val="1"/>
          <w:numId w:val="2"/>
        </w:numPr>
        <w:spacing w:line="360" w:lineRule="auto"/>
        <w:ind w:left="0" w:firstLine="425"/>
        <w:rPr>
          <w:rFonts w:ascii="宋体" w:hAnsi="宋体"/>
          <w:color w:val="auto"/>
          <w:szCs w:val="21"/>
          <w:highlight w:val="none"/>
        </w:rPr>
      </w:pPr>
      <w:r>
        <w:rPr>
          <w:rFonts w:hint="eastAsia" w:ascii="宋体" w:hAnsi="宋体"/>
          <w:color w:val="auto"/>
          <w:szCs w:val="21"/>
          <w:highlight w:val="none"/>
        </w:rPr>
        <w:t>项目地点：</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采购人指定地点</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75E47057">
      <w:pPr>
        <w:numPr>
          <w:ilvl w:val="1"/>
          <w:numId w:val="2"/>
        </w:numPr>
        <w:spacing w:line="360" w:lineRule="auto"/>
        <w:ind w:left="0" w:firstLine="425"/>
        <w:rPr>
          <w:rFonts w:ascii="宋体" w:hAnsi="宋体"/>
          <w:color w:val="auto"/>
          <w:szCs w:val="21"/>
          <w:highlight w:val="none"/>
        </w:rPr>
      </w:pPr>
      <w:r>
        <w:rPr>
          <w:rFonts w:hint="eastAsia" w:ascii="宋体" w:hAnsi="宋体"/>
          <w:color w:val="auto"/>
          <w:szCs w:val="21"/>
          <w:highlight w:val="none"/>
        </w:rPr>
        <w:t>服务时间（供货时间/工期）：</w:t>
      </w:r>
      <w:r>
        <w:rPr>
          <w:rFonts w:hint="eastAsia" w:ascii="宋体" w:hAnsi="宋体"/>
          <w:color w:val="auto"/>
          <w:szCs w:val="21"/>
          <w:highlight w:val="none"/>
          <w:u w:val="single"/>
        </w:rPr>
        <w:t xml:space="preserve"> 项目合同签订之日起至项目相关报告提交采购人并由采购人确认无误时止 </w:t>
      </w:r>
      <w:r>
        <w:rPr>
          <w:rFonts w:hint="eastAsia" w:ascii="宋体" w:hAnsi="宋体"/>
          <w:color w:val="auto"/>
          <w:szCs w:val="21"/>
          <w:highlight w:val="none"/>
        </w:rPr>
        <w:t>；</w:t>
      </w:r>
    </w:p>
    <w:p w14:paraId="7B16B76F">
      <w:pPr>
        <w:numPr>
          <w:ilvl w:val="1"/>
          <w:numId w:val="2"/>
        </w:numPr>
        <w:spacing w:line="360" w:lineRule="auto"/>
        <w:ind w:left="0" w:firstLine="425"/>
        <w:rPr>
          <w:rFonts w:ascii="宋体" w:hAnsi="宋体"/>
          <w:color w:val="auto"/>
          <w:szCs w:val="21"/>
          <w:highlight w:val="none"/>
        </w:rPr>
      </w:pPr>
      <w:r>
        <w:rPr>
          <w:rFonts w:hint="eastAsia" w:ascii="宋体" w:hAnsi="宋体"/>
          <w:color w:val="auto"/>
          <w:szCs w:val="21"/>
          <w:highlight w:val="none"/>
        </w:rPr>
        <w:t>预算金额：</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标包1: 60,000.00元； 标包2: 30,000.00元</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68908560">
      <w:pPr>
        <w:numPr>
          <w:ilvl w:val="1"/>
          <w:numId w:val="2"/>
        </w:numPr>
        <w:spacing w:line="360" w:lineRule="auto"/>
        <w:ind w:left="0" w:firstLine="425"/>
        <w:rPr>
          <w:rFonts w:ascii="宋体" w:hAnsi="宋体"/>
          <w:color w:val="auto"/>
          <w:szCs w:val="21"/>
          <w:highlight w:val="none"/>
        </w:rPr>
      </w:pPr>
      <w:r>
        <w:rPr>
          <w:rFonts w:hint="eastAsia" w:ascii="宋体" w:hAnsi="宋体"/>
          <w:color w:val="auto"/>
          <w:szCs w:val="21"/>
          <w:highlight w:val="none"/>
        </w:rPr>
        <w:t>最高限价：</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标包1: 60,000.00元； 标包2: 30,000.00元</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5C34EFEA">
      <w:pPr>
        <w:numPr>
          <w:ilvl w:val="1"/>
          <w:numId w:val="2"/>
        </w:numPr>
        <w:spacing w:line="360" w:lineRule="auto"/>
        <w:ind w:left="0" w:firstLine="425"/>
        <w:rPr>
          <w:rFonts w:ascii="宋体" w:hAnsi="宋体"/>
          <w:color w:val="auto"/>
          <w:szCs w:val="21"/>
          <w:highlight w:val="none"/>
        </w:rPr>
      </w:pPr>
      <w:r>
        <w:rPr>
          <w:rFonts w:hint="eastAsia" w:ascii="宋体" w:hAnsi="宋体"/>
          <w:color w:val="auto"/>
          <w:szCs w:val="21"/>
          <w:highlight w:val="none"/>
        </w:rPr>
        <w:t>标包划分：</w:t>
      </w:r>
      <w:r>
        <w:rPr>
          <w:rStyle w:val="45"/>
          <w:rFonts w:hint="eastAsia"/>
          <w:color w:val="auto"/>
          <w:highlight w:val="none"/>
        </w:rPr>
        <w:t>本项目</w:t>
      </w:r>
      <w:r>
        <w:rPr>
          <w:rStyle w:val="45"/>
          <w:rFonts w:hint="eastAsia"/>
          <w:color w:val="auto"/>
          <w:highlight w:val="none"/>
          <w:u w:val="single"/>
        </w:rPr>
        <w:t>划分</w:t>
      </w:r>
      <w:r>
        <w:rPr>
          <w:rStyle w:val="45"/>
          <w:rFonts w:hint="eastAsia"/>
          <w:color w:val="auto"/>
          <w:highlight w:val="none"/>
          <w:u w:val="single"/>
          <w:lang w:val="en-US" w:eastAsia="zh-CN"/>
        </w:rPr>
        <w:t xml:space="preserve"> 2 </w:t>
      </w:r>
      <w:r>
        <w:rPr>
          <w:rStyle w:val="45"/>
          <w:rFonts w:hint="eastAsia"/>
          <w:color w:val="auto"/>
          <w:highlight w:val="none"/>
        </w:rPr>
        <w:t>标包</w:t>
      </w:r>
      <w:r>
        <w:rPr>
          <w:rFonts w:hint="eastAsia" w:ascii="宋体" w:hAnsi="宋体"/>
          <w:color w:val="auto"/>
          <w:spacing w:val="2"/>
          <w:szCs w:val="21"/>
          <w:highlight w:val="none"/>
        </w:rPr>
        <w:t>。</w:t>
      </w:r>
    </w:p>
    <w:p w14:paraId="49D6C6B5">
      <w:pPr>
        <w:spacing w:line="360" w:lineRule="auto"/>
        <w:rPr>
          <w:rFonts w:ascii="黑体" w:eastAsia="黑体"/>
          <w:b/>
          <w:color w:val="auto"/>
          <w:sz w:val="28"/>
          <w:szCs w:val="28"/>
          <w:highlight w:val="none"/>
        </w:rPr>
      </w:pPr>
      <w:r>
        <w:rPr>
          <w:rFonts w:ascii="黑体" w:eastAsia="黑体"/>
          <w:b/>
          <w:color w:val="auto"/>
          <w:sz w:val="28"/>
          <w:szCs w:val="28"/>
          <w:highlight w:val="none"/>
        </w:rPr>
        <w:t xml:space="preserve">二、 </w:t>
      </w:r>
      <w:r>
        <w:rPr>
          <w:rFonts w:hint="eastAsia" w:ascii="黑体" w:eastAsia="黑体"/>
          <w:b/>
          <w:color w:val="auto"/>
          <w:sz w:val="28"/>
          <w:szCs w:val="28"/>
          <w:highlight w:val="none"/>
        </w:rPr>
        <w:t>响应人</w:t>
      </w:r>
      <w:r>
        <w:rPr>
          <w:rFonts w:ascii="黑体" w:eastAsia="黑体"/>
          <w:b/>
          <w:color w:val="auto"/>
          <w:sz w:val="28"/>
          <w:szCs w:val="28"/>
          <w:highlight w:val="none"/>
        </w:rPr>
        <w:t>资格</w:t>
      </w:r>
      <w:r>
        <w:rPr>
          <w:rFonts w:hint="eastAsia" w:ascii="黑体" w:eastAsia="黑体"/>
          <w:b/>
          <w:color w:val="auto"/>
          <w:sz w:val="28"/>
          <w:szCs w:val="28"/>
          <w:highlight w:val="none"/>
        </w:rPr>
        <w:t>要求</w:t>
      </w:r>
    </w:p>
    <w:p w14:paraId="02ECC2D2">
      <w:pPr>
        <w:numPr>
          <w:ilvl w:val="1"/>
          <w:numId w:val="3"/>
        </w:numPr>
        <w:spacing w:line="360" w:lineRule="auto"/>
        <w:ind w:left="851" w:hanging="425"/>
        <w:rPr>
          <w:rFonts w:ascii="宋体"/>
          <w:color w:val="auto"/>
          <w:szCs w:val="21"/>
          <w:highlight w:val="none"/>
        </w:rPr>
      </w:pPr>
      <w:r>
        <w:rPr>
          <w:rFonts w:hint="eastAsia" w:ascii="宋体" w:hAnsi="宋体"/>
          <w:color w:val="auto"/>
          <w:szCs w:val="21"/>
          <w:highlight w:val="none"/>
        </w:rPr>
        <w:t>响应人须为在中华人民共和国境内登记注册的具有独立承担民事责任能力的法人或其他组织。【提供《营业执照》复印件（加盖公章）或《事业单位法人证书》复印件（加盖公章）或其他主体证书复印件（加盖公章）】</w:t>
      </w:r>
    </w:p>
    <w:p w14:paraId="45C33BD9">
      <w:pPr>
        <w:numPr>
          <w:ilvl w:val="1"/>
          <w:numId w:val="3"/>
        </w:numPr>
        <w:spacing w:line="360" w:lineRule="auto"/>
        <w:ind w:left="851" w:hanging="425"/>
        <w:rPr>
          <w:rFonts w:ascii="宋体"/>
          <w:color w:val="auto"/>
          <w:szCs w:val="21"/>
          <w:highlight w:val="none"/>
          <w:u w:val="single"/>
        </w:rPr>
      </w:pPr>
      <w:r>
        <w:rPr>
          <w:rFonts w:hint="eastAsia" w:ascii="宋体" w:hAnsi="宋体"/>
          <w:color w:val="auto"/>
          <w:szCs w:val="21"/>
          <w:highlight w:val="none"/>
        </w:rPr>
        <w:t>资质要求：</w:t>
      </w:r>
    </w:p>
    <w:p w14:paraId="3AA89509">
      <w:pPr>
        <w:numPr>
          <w:ilvl w:val="0"/>
          <w:numId w:val="0"/>
        </w:numPr>
        <w:spacing w:line="360" w:lineRule="auto"/>
        <w:ind w:left="826" w:leftChars="0" w:firstLine="18" w:firstLineChars="9"/>
        <w:rPr>
          <w:rFonts w:ascii="宋体"/>
          <w:color w:val="auto"/>
          <w:szCs w:val="21"/>
          <w:highlight w:val="none"/>
          <w:u w:val="single"/>
        </w:rPr>
      </w:pPr>
      <w:r>
        <w:rPr>
          <w:rFonts w:hint="eastAsia" w:ascii="宋体" w:hAnsi="宋体"/>
          <w:color w:val="auto"/>
          <w:szCs w:val="21"/>
          <w:highlight w:val="none"/>
          <w:u w:val="single"/>
          <w:lang w:val="en-US" w:eastAsia="zh-CN"/>
        </w:rPr>
        <w:t>标包1：</w:t>
      </w:r>
      <w:r>
        <w:rPr>
          <w:rFonts w:hint="eastAsia" w:ascii="宋体" w:hAnsi="宋体"/>
          <w:color w:val="auto"/>
          <w:szCs w:val="21"/>
          <w:highlight w:val="none"/>
          <w:u w:val="single"/>
        </w:rPr>
        <w:t>响应人须具备</w:t>
      </w:r>
      <w:r>
        <w:rPr>
          <w:rFonts w:hint="eastAsia" w:ascii="宋体" w:hAnsi="宋体"/>
          <w:color w:val="auto"/>
          <w:szCs w:val="21"/>
          <w:highlight w:val="none"/>
          <w:u w:val="single"/>
          <w:lang w:val="en-US" w:eastAsia="zh-CN"/>
        </w:rPr>
        <w:t>财政部门出具的资产评估机构备案登记证明【提供相关证明材料复印件并加盖公章）】</w:t>
      </w:r>
      <w:r>
        <w:rPr>
          <w:rFonts w:hint="eastAsia" w:ascii="宋体" w:hAnsi="宋体"/>
          <w:color w:val="auto"/>
          <w:szCs w:val="21"/>
          <w:highlight w:val="none"/>
          <w:u w:val="single"/>
          <w:lang w:val="en-US" w:eastAsia="zh-CN"/>
        </w:rPr>
        <w:br w:type="textWrapping"/>
      </w:r>
      <w:r>
        <w:rPr>
          <w:rFonts w:hint="eastAsia" w:ascii="宋体" w:hAnsi="宋体"/>
          <w:color w:val="auto"/>
          <w:szCs w:val="21"/>
          <w:highlight w:val="none"/>
          <w:u w:val="single"/>
          <w:lang w:val="en-US" w:eastAsia="zh-CN"/>
        </w:rPr>
        <w:t>标包2：</w:t>
      </w:r>
      <w:r>
        <w:rPr>
          <w:rFonts w:hint="eastAsia" w:ascii="宋体" w:hAnsi="宋体"/>
          <w:color w:val="auto"/>
          <w:szCs w:val="21"/>
          <w:highlight w:val="none"/>
          <w:u w:val="single"/>
        </w:rPr>
        <w:t>响应人须具备</w:t>
      </w:r>
      <w:bookmarkStart w:id="3" w:name="_Hlk75792846"/>
      <w:r>
        <w:rPr>
          <w:rFonts w:hint="eastAsia" w:ascii="宋体" w:hAnsi="宋体"/>
          <w:color w:val="auto"/>
          <w:szCs w:val="21"/>
          <w:highlight w:val="none"/>
          <w:u w:val="single"/>
          <w:lang w:val="en-US" w:eastAsia="zh-CN"/>
        </w:rPr>
        <w:t>有效期内的会计师事务所执业证书【提供会计师事务所执业证书复印件并加盖公章</w:t>
      </w:r>
      <w:bookmarkEnd w:id="3"/>
      <w:r>
        <w:rPr>
          <w:rFonts w:hint="eastAsia" w:ascii="宋体" w:hAnsi="宋体"/>
          <w:color w:val="auto"/>
          <w:szCs w:val="21"/>
          <w:highlight w:val="none"/>
          <w:u w:val="single"/>
          <w:lang w:val="en-US" w:eastAsia="zh-CN"/>
        </w:rPr>
        <w:t>】</w:t>
      </w:r>
    </w:p>
    <w:p w14:paraId="534C4305">
      <w:pPr>
        <w:numPr>
          <w:ilvl w:val="1"/>
          <w:numId w:val="3"/>
        </w:numPr>
        <w:spacing w:line="360" w:lineRule="auto"/>
        <w:ind w:left="851" w:hanging="425"/>
        <w:rPr>
          <w:rFonts w:ascii="宋体"/>
          <w:color w:val="auto"/>
          <w:szCs w:val="21"/>
          <w:highlight w:val="none"/>
        </w:rPr>
      </w:pPr>
      <w:r>
        <w:rPr>
          <w:rFonts w:hint="eastAsia" w:ascii="宋体" w:hAnsi="宋体"/>
          <w:color w:val="auto"/>
          <w:szCs w:val="21"/>
          <w:highlight w:val="none"/>
        </w:rPr>
        <w:t>业绩要求：</w:t>
      </w:r>
    </w:p>
    <w:p w14:paraId="1FF224D4">
      <w:pPr>
        <w:numPr>
          <w:ilvl w:val="0"/>
          <w:numId w:val="0"/>
        </w:numPr>
        <w:spacing w:line="360" w:lineRule="auto"/>
        <w:ind w:left="826" w:leftChars="0" w:firstLine="18" w:firstLineChars="9"/>
        <w:rPr>
          <w:rFonts w:hint="eastAsia" w:ascii="宋体" w:hAnsi="宋体"/>
          <w:color w:val="auto"/>
          <w:szCs w:val="21"/>
          <w:highlight w:val="none"/>
        </w:rPr>
      </w:pPr>
      <w:r>
        <w:rPr>
          <w:rFonts w:hint="eastAsia" w:ascii="宋体" w:hAnsi="宋体" w:eastAsia="宋体" w:cs="Times New Roman"/>
          <w:color w:val="auto"/>
          <w:szCs w:val="21"/>
          <w:highlight w:val="none"/>
          <w:u w:val="single"/>
          <w:lang w:val="en-US" w:eastAsia="zh-CN"/>
        </w:rPr>
        <w:t>标包1：具备</w:t>
      </w:r>
      <w:r>
        <w:rPr>
          <w:color w:val="auto"/>
          <w:szCs w:val="21"/>
          <w:highlight w:val="none"/>
          <w:u w:val="single"/>
        </w:rPr>
        <w:t xml:space="preserve"> </w:t>
      </w:r>
      <w:r>
        <w:rPr>
          <w:rFonts w:hint="eastAsia"/>
          <w:color w:val="auto"/>
          <w:szCs w:val="21"/>
          <w:highlight w:val="none"/>
          <w:u w:val="single"/>
          <w:lang w:val="en-US" w:eastAsia="zh-CN"/>
        </w:rPr>
        <w:t>股权价值评估类</w:t>
      </w:r>
      <w:r>
        <w:rPr>
          <w:color w:val="auto"/>
          <w:szCs w:val="21"/>
          <w:highlight w:val="none"/>
          <w:u w:val="single"/>
        </w:rPr>
        <w:t xml:space="preserve"> </w:t>
      </w:r>
      <w:r>
        <w:rPr>
          <w:rFonts w:hint="eastAsia"/>
          <w:color w:val="auto"/>
          <w:szCs w:val="21"/>
          <w:highlight w:val="none"/>
        </w:rPr>
        <w:t>项目经验，要求</w:t>
      </w:r>
      <w:r>
        <w:rPr>
          <w:color w:val="auto"/>
          <w:szCs w:val="21"/>
          <w:highlight w:val="none"/>
          <w:u w:val="single"/>
        </w:rPr>
        <w:t xml:space="preserve"> </w:t>
      </w:r>
      <w:r>
        <w:rPr>
          <w:rFonts w:hint="eastAsia"/>
          <w:color w:val="auto"/>
          <w:szCs w:val="21"/>
          <w:highlight w:val="none"/>
          <w:u w:val="single"/>
          <w:lang w:val="en-US" w:eastAsia="zh-CN"/>
        </w:rPr>
        <w:t>2024</w:t>
      </w:r>
      <w:r>
        <w:rPr>
          <w:color w:val="auto"/>
          <w:szCs w:val="21"/>
          <w:highlight w:val="none"/>
          <w:u w:val="single"/>
        </w:rPr>
        <w:t xml:space="preserve"> </w:t>
      </w:r>
      <w:r>
        <w:rPr>
          <w:rFonts w:hint="eastAsia"/>
          <w:color w:val="auto"/>
          <w:szCs w:val="21"/>
          <w:highlight w:val="none"/>
        </w:rPr>
        <w:t>年</w:t>
      </w:r>
      <w:r>
        <w:rPr>
          <w:color w:val="auto"/>
          <w:szCs w:val="21"/>
          <w:highlight w:val="none"/>
          <w:u w:val="single"/>
        </w:rPr>
        <w:t xml:space="preserve"> </w:t>
      </w:r>
      <w:r>
        <w:rPr>
          <w:rFonts w:hint="eastAsia"/>
          <w:color w:val="auto"/>
          <w:szCs w:val="21"/>
          <w:highlight w:val="none"/>
          <w:u w:val="single"/>
          <w:lang w:val="en-US" w:eastAsia="zh-CN"/>
        </w:rPr>
        <w:t>1</w:t>
      </w:r>
      <w:r>
        <w:rPr>
          <w:color w:val="auto"/>
          <w:szCs w:val="21"/>
          <w:highlight w:val="none"/>
          <w:u w:val="single"/>
        </w:rPr>
        <w:t xml:space="preserve"> </w:t>
      </w:r>
      <w:r>
        <w:rPr>
          <w:rFonts w:hint="eastAsia"/>
          <w:color w:val="auto"/>
          <w:szCs w:val="21"/>
          <w:highlight w:val="none"/>
        </w:rPr>
        <w:t>月</w:t>
      </w:r>
      <w:r>
        <w:rPr>
          <w:color w:val="auto"/>
          <w:szCs w:val="21"/>
          <w:highlight w:val="none"/>
          <w:u w:val="single"/>
        </w:rPr>
        <w:t xml:space="preserve"> </w:t>
      </w:r>
      <w:r>
        <w:rPr>
          <w:rFonts w:hint="eastAsia"/>
          <w:color w:val="auto"/>
          <w:szCs w:val="21"/>
          <w:highlight w:val="none"/>
          <w:u w:val="single"/>
          <w:lang w:val="en-US" w:eastAsia="zh-CN"/>
        </w:rPr>
        <w:t>1</w:t>
      </w:r>
      <w:r>
        <w:rPr>
          <w:color w:val="auto"/>
          <w:szCs w:val="21"/>
          <w:highlight w:val="none"/>
          <w:u w:val="single"/>
        </w:rPr>
        <w:t xml:space="preserve"> </w:t>
      </w:r>
      <w:r>
        <w:rPr>
          <w:rFonts w:hint="eastAsia"/>
          <w:color w:val="auto"/>
          <w:szCs w:val="21"/>
          <w:highlight w:val="none"/>
        </w:rPr>
        <w:t>日起至</w:t>
      </w:r>
      <w:r>
        <w:rPr>
          <w:rFonts w:hint="eastAsia"/>
          <w:color w:val="auto"/>
          <w:szCs w:val="21"/>
          <w:highlight w:val="none"/>
          <w:u w:val="none"/>
          <w:lang w:val="en-US" w:eastAsia="zh-CN"/>
        </w:rPr>
        <w:t>今</w:t>
      </w:r>
      <w:r>
        <w:rPr>
          <w:rFonts w:hint="eastAsia"/>
          <w:color w:val="auto"/>
          <w:szCs w:val="21"/>
          <w:highlight w:val="none"/>
        </w:rPr>
        <w:t>，完成至少</w:t>
      </w:r>
      <w:r>
        <w:rPr>
          <w:rFonts w:hint="eastAsia"/>
          <w:color w:val="auto"/>
          <w:szCs w:val="21"/>
          <w:highlight w:val="none"/>
          <w:lang w:val="en-US" w:eastAsia="zh-CN"/>
        </w:rPr>
        <w:t>2</w:t>
      </w:r>
      <w:r>
        <w:rPr>
          <w:rFonts w:hint="eastAsia"/>
          <w:color w:val="auto"/>
          <w:szCs w:val="21"/>
          <w:highlight w:val="none"/>
        </w:rPr>
        <w:t>个</w:t>
      </w:r>
      <w:r>
        <w:rPr>
          <w:color w:val="auto"/>
          <w:szCs w:val="21"/>
          <w:highlight w:val="none"/>
          <w:u w:val="single"/>
        </w:rPr>
        <w:t xml:space="preserve"> </w:t>
      </w:r>
      <w:r>
        <w:rPr>
          <w:rFonts w:hint="eastAsia"/>
          <w:color w:val="auto"/>
          <w:szCs w:val="21"/>
          <w:highlight w:val="none"/>
          <w:u w:val="single"/>
          <w:lang w:val="en-US" w:eastAsia="zh-CN"/>
        </w:rPr>
        <w:t>资产评估类项目</w:t>
      </w:r>
      <w:r>
        <w:rPr>
          <w:color w:val="auto"/>
          <w:szCs w:val="21"/>
          <w:highlight w:val="none"/>
          <w:u w:val="single"/>
        </w:rPr>
        <w:t xml:space="preserve"> </w:t>
      </w:r>
      <w:r>
        <w:rPr>
          <w:rFonts w:hint="eastAsia"/>
          <w:color w:val="auto"/>
          <w:szCs w:val="21"/>
          <w:highlight w:val="none"/>
        </w:rPr>
        <w:t>业绩。</w:t>
      </w:r>
      <w:r>
        <w:rPr>
          <w:rFonts w:hint="eastAsia" w:ascii="宋体" w:hAnsi="宋体"/>
          <w:color w:val="auto"/>
          <w:szCs w:val="21"/>
          <w:highlight w:val="none"/>
        </w:rPr>
        <w:t>【按合同签订时间为准，须提供合同关键页复印件（包含但不限于合同首页、合同金额页、合同签字页等）、该合同期内任意一期发票复印件，并加盖公</w:t>
      </w:r>
      <w:r>
        <w:rPr>
          <w:rFonts w:hint="eastAsia" w:ascii="宋体" w:hAnsi="宋体"/>
          <w:b w:val="0"/>
          <w:bCs w:val="0"/>
          <w:color w:val="auto"/>
          <w:szCs w:val="21"/>
          <w:highlight w:val="none"/>
          <w:lang w:val="en-US" w:eastAsia="zh-CN"/>
        </w:rPr>
        <w:t>章</w:t>
      </w:r>
      <w:r>
        <w:rPr>
          <w:rFonts w:hint="eastAsia" w:ascii="宋体" w:hAnsi="宋体"/>
          <w:color w:val="auto"/>
          <w:szCs w:val="21"/>
          <w:highlight w:val="none"/>
        </w:rPr>
        <w:t>】</w:t>
      </w:r>
    </w:p>
    <w:p w14:paraId="589B3AF4">
      <w:pPr>
        <w:numPr>
          <w:ilvl w:val="0"/>
          <w:numId w:val="0"/>
        </w:numPr>
        <w:spacing w:line="360" w:lineRule="auto"/>
        <w:ind w:left="826" w:leftChars="0" w:firstLine="18" w:firstLineChars="9"/>
        <w:rPr>
          <w:rFonts w:hint="eastAsia" w:ascii="宋体" w:hAnsi="宋体"/>
          <w:color w:val="auto"/>
          <w:szCs w:val="21"/>
          <w:highlight w:val="none"/>
        </w:rPr>
      </w:pPr>
      <w:r>
        <w:rPr>
          <w:rFonts w:hint="eastAsia" w:ascii="宋体" w:hAnsi="宋体" w:eastAsia="宋体" w:cs="Times New Roman"/>
          <w:color w:val="auto"/>
          <w:szCs w:val="21"/>
          <w:highlight w:val="none"/>
          <w:u w:val="single"/>
          <w:lang w:val="en-US" w:eastAsia="zh-CN"/>
        </w:rPr>
        <w:t>标包2：具备</w:t>
      </w:r>
      <w:r>
        <w:rPr>
          <w:color w:val="auto"/>
          <w:szCs w:val="21"/>
          <w:highlight w:val="none"/>
          <w:u w:val="single"/>
        </w:rPr>
        <w:t xml:space="preserve"> </w:t>
      </w:r>
      <w:r>
        <w:rPr>
          <w:rFonts w:hint="eastAsia"/>
          <w:color w:val="auto"/>
          <w:szCs w:val="21"/>
          <w:highlight w:val="none"/>
          <w:u w:val="single"/>
          <w:lang w:val="en-US" w:eastAsia="zh-CN"/>
        </w:rPr>
        <w:t>财务审计类</w:t>
      </w:r>
      <w:r>
        <w:rPr>
          <w:color w:val="auto"/>
          <w:szCs w:val="21"/>
          <w:highlight w:val="none"/>
          <w:u w:val="single"/>
        </w:rPr>
        <w:t xml:space="preserve"> </w:t>
      </w:r>
      <w:r>
        <w:rPr>
          <w:rFonts w:hint="eastAsia"/>
          <w:color w:val="auto"/>
          <w:szCs w:val="21"/>
          <w:highlight w:val="none"/>
        </w:rPr>
        <w:t>项目经验，要求</w:t>
      </w:r>
      <w:r>
        <w:rPr>
          <w:color w:val="auto"/>
          <w:szCs w:val="21"/>
          <w:highlight w:val="none"/>
          <w:u w:val="single"/>
        </w:rPr>
        <w:t xml:space="preserve"> </w:t>
      </w:r>
      <w:r>
        <w:rPr>
          <w:rFonts w:hint="eastAsia"/>
          <w:color w:val="auto"/>
          <w:szCs w:val="21"/>
          <w:highlight w:val="none"/>
          <w:u w:val="single"/>
          <w:lang w:val="en-US" w:eastAsia="zh-CN"/>
        </w:rPr>
        <w:t>2024</w:t>
      </w:r>
      <w:r>
        <w:rPr>
          <w:color w:val="auto"/>
          <w:szCs w:val="21"/>
          <w:highlight w:val="none"/>
          <w:u w:val="single"/>
        </w:rPr>
        <w:t xml:space="preserve"> </w:t>
      </w:r>
      <w:r>
        <w:rPr>
          <w:rFonts w:hint="eastAsia"/>
          <w:color w:val="auto"/>
          <w:szCs w:val="21"/>
          <w:highlight w:val="none"/>
        </w:rPr>
        <w:t>年</w:t>
      </w:r>
      <w:r>
        <w:rPr>
          <w:color w:val="auto"/>
          <w:szCs w:val="21"/>
          <w:highlight w:val="none"/>
          <w:u w:val="single"/>
        </w:rPr>
        <w:t xml:space="preserve"> </w:t>
      </w:r>
      <w:r>
        <w:rPr>
          <w:rFonts w:hint="eastAsia"/>
          <w:color w:val="auto"/>
          <w:szCs w:val="21"/>
          <w:highlight w:val="none"/>
          <w:u w:val="single"/>
          <w:lang w:val="en-US" w:eastAsia="zh-CN"/>
        </w:rPr>
        <w:t>1</w:t>
      </w:r>
      <w:r>
        <w:rPr>
          <w:color w:val="auto"/>
          <w:szCs w:val="21"/>
          <w:highlight w:val="none"/>
          <w:u w:val="single"/>
        </w:rPr>
        <w:t xml:space="preserve"> </w:t>
      </w:r>
      <w:r>
        <w:rPr>
          <w:rFonts w:hint="eastAsia"/>
          <w:color w:val="auto"/>
          <w:szCs w:val="21"/>
          <w:highlight w:val="none"/>
        </w:rPr>
        <w:t>月</w:t>
      </w:r>
      <w:r>
        <w:rPr>
          <w:color w:val="auto"/>
          <w:szCs w:val="21"/>
          <w:highlight w:val="none"/>
          <w:u w:val="single"/>
        </w:rPr>
        <w:t xml:space="preserve"> </w:t>
      </w:r>
      <w:r>
        <w:rPr>
          <w:rFonts w:hint="eastAsia"/>
          <w:color w:val="auto"/>
          <w:szCs w:val="21"/>
          <w:highlight w:val="none"/>
          <w:u w:val="single"/>
          <w:lang w:val="en-US" w:eastAsia="zh-CN"/>
        </w:rPr>
        <w:t>1</w:t>
      </w:r>
      <w:r>
        <w:rPr>
          <w:color w:val="auto"/>
          <w:szCs w:val="21"/>
          <w:highlight w:val="none"/>
          <w:u w:val="single"/>
        </w:rPr>
        <w:t xml:space="preserve"> </w:t>
      </w:r>
      <w:r>
        <w:rPr>
          <w:rFonts w:hint="eastAsia"/>
          <w:color w:val="auto"/>
          <w:szCs w:val="21"/>
          <w:highlight w:val="none"/>
        </w:rPr>
        <w:t>日起至</w:t>
      </w:r>
      <w:r>
        <w:rPr>
          <w:rFonts w:hint="eastAsia"/>
          <w:color w:val="auto"/>
          <w:szCs w:val="21"/>
          <w:highlight w:val="none"/>
          <w:u w:val="none"/>
          <w:lang w:val="en-US" w:eastAsia="zh-CN"/>
        </w:rPr>
        <w:t>今</w:t>
      </w:r>
      <w:r>
        <w:rPr>
          <w:rFonts w:hint="eastAsia"/>
          <w:color w:val="auto"/>
          <w:szCs w:val="21"/>
          <w:highlight w:val="none"/>
        </w:rPr>
        <w:t>，完成至少</w:t>
      </w:r>
      <w:r>
        <w:rPr>
          <w:rFonts w:hint="eastAsia"/>
          <w:color w:val="auto"/>
          <w:szCs w:val="21"/>
          <w:highlight w:val="none"/>
          <w:lang w:val="en-US" w:eastAsia="zh-CN"/>
        </w:rPr>
        <w:t>2</w:t>
      </w:r>
      <w:r>
        <w:rPr>
          <w:rFonts w:hint="eastAsia"/>
          <w:color w:val="auto"/>
          <w:szCs w:val="21"/>
          <w:highlight w:val="none"/>
        </w:rPr>
        <w:t>个</w:t>
      </w:r>
      <w:r>
        <w:rPr>
          <w:color w:val="auto"/>
          <w:szCs w:val="21"/>
          <w:highlight w:val="none"/>
          <w:u w:val="single"/>
        </w:rPr>
        <w:t xml:space="preserve"> </w:t>
      </w:r>
      <w:r>
        <w:rPr>
          <w:rFonts w:hint="eastAsia"/>
          <w:color w:val="auto"/>
          <w:szCs w:val="21"/>
          <w:highlight w:val="none"/>
          <w:u w:val="single"/>
        </w:rPr>
        <w:t>清产核资审计</w:t>
      </w:r>
      <w:r>
        <w:rPr>
          <w:rFonts w:hint="eastAsia"/>
          <w:color w:val="auto"/>
          <w:szCs w:val="21"/>
          <w:highlight w:val="none"/>
          <w:u w:val="single"/>
          <w:lang w:val="en-US" w:eastAsia="zh-CN"/>
        </w:rPr>
        <w:t>类项目</w:t>
      </w:r>
      <w:r>
        <w:rPr>
          <w:color w:val="auto"/>
          <w:szCs w:val="21"/>
          <w:highlight w:val="none"/>
          <w:u w:val="single"/>
        </w:rPr>
        <w:t xml:space="preserve"> </w:t>
      </w:r>
      <w:r>
        <w:rPr>
          <w:rFonts w:hint="eastAsia"/>
          <w:color w:val="auto"/>
          <w:szCs w:val="21"/>
          <w:highlight w:val="none"/>
        </w:rPr>
        <w:t>业绩。</w:t>
      </w:r>
      <w:r>
        <w:rPr>
          <w:rFonts w:hint="eastAsia" w:ascii="宋体" w:hAnsi="宋体"/>
          <w:color w:val="auto"/>
          <w:szCs w:val="21"/>
          <w:highlight w:val="none"/>
        </w:rPr>
        <w:t>【按合同签订时间为准，须提供合同关键页复印件（包含但不限于合同首页、合同金额页、合同签字页等）、该合同期内任意一期发票复印件，并加盖公</w:t>
      </w:r>
      <w:r>
        <w:rPr>
          <w:rFonts w:hint="eastAsia" w:ascii="宋体" w:hAnsi="宋体"/>
          <w:b w:val="0"/>
          <w:bCs w:val="0"/>
          <w:color w:val="auto"/>
          <w:szCs w:val="21"/>
          <w:highlight w:val="none"/>
          <w:lang w:val="en-US" w:eastAsia="zh-CN"/>
        </w:rPr>
        <w:t>章</w:t>
      </w:r>
      <w:r>
        <w:rPr>
          <w:rFonts w:hint="eastAsia" w:ascii="宋体" w:hAnsi="宋体"/>
          <w:color w:val="auto"/>
          <w:szCs w:val="21"/>
          <w:highlight w:val="none"/>
        </w:rPr>
        <w:t>】</w:t>
      </w:r>
    </w:p>
    <w:p w14:paraId="5F6E46FB">
      <w:pPr>
        <w:numPr>
          <w:ilvl w:val="1"/>
          <w:numId w:val="3"/>
        </w:numPr>
        <w:spacing w:line="360" w:lineRule="auto"/>
        <w:ind w:left="851" w:hanging="425"/>
        <w:rPr>
          <w:rFonts w:ascii="宋体"/>
          <w:color w:val="auto"/>
          <w:szCs w:val="21"/>
          <w:highlight w:val="none"/>
        </w:rPr>
      </w:pPr>
      <w:r>
        <w:rPr>
          <w:rFonts w:hint="eastAsia" w:ascii="宋体" w:hAnsi="宋体"/>
          <w:color w:val="auto"/>
          <w:szCs w:val="21"/>
          <w:highlight w:val="none"/>
        </w:rPr>
        <w:t>人员要求：</w:t>
      </w:r>
    </w:p>
    <w:p w14:paraId="21876AED">
      <w:pPr>
        <w:numPr>
          <w:ilvl w:val="0"/>
          <w:numId w:val="0"/>
        </w:numPr>
        <w:spacing w:line="360" w:lineRule="auto"/>
        <w:ind w:left="826" w:leftChars="0" w:firstLine="18" w:firstLineChars="9"/>
        <w:rPr>
          <w:color w:val="auto"/>
          <w:highlight w:val="none"/>
        </w:rPr>
      </w:pPr>
      <w:r>
        <w:rPr>
          <w:rFonts w:hint="eastAsia" w:ascii="宋体" w:hAnsi="宋体"/>
          <w:color w:val="auto"/>
          <w:szCs w:val="21"/>
          <w:highlight w:val="none"/>
          <w:lang w:val="en-US" w:eastAsia="zh-CN"/>
        </w:rPr>
        <w:t>标包1：</w:t>
      </w:r>
      <w:r>
        <w:rPr>
          <w:rFonts w:hint="eastAsia" w:ascii="宋体" w:hAnsi="宋体"/>
          <w:color w:val="auto"/>
          <w:szCs w:val="21"/>
          <w:highlight w:val="none"/>
        </w:rPr>
        <w:t>响应人拟派项目负责人须具备</w:t>
      </w:r>
      <w:r>
        <w:rPr>
          <w:rFonts w:ascii="宋体" w:hAnsi="宋体"/>
          <w:color w:val="auto"/>
          <w:szCs w:val="21"/>
          <w:highlight w:val="none"/>
          <w:u w:val="single"/>
        </w:rPr>
        <w:t xml:space="preserve"> </w:t>
      </w:r>
      <w:r>
        <w:rPr>
          <w:rFonts w:hint="eastAsia" w:ascii="宋体" w:hAnsi="宋体"/>
          <w:color w:val="auto"/>
          <w:szCs w:val="21"/>
          <w:highlight w:val="none"/>
          <w:u w:val="single"/>
        </w:rPr>
        <w:t>资产评估师证书</w:t>
      </w:r>
      <w:r>
        <w:rPr>
          <w:rFonts w:ascii="宋体" w:hAnsi="宋体"/>
          <w:color w:val="auto"/>
          <w:szCs w:val="21"/>
          <w:highlight w:val="none"/>
          <w:u w:val="single"/>
        </w:rPr>
        <w:t xml:space="preserve"> </w:t>
      </w:r>
      <w:r>
        <w:rPr>
          <w:rFonts w:hint="eastAsia" w:ascii="宋体" w:hAnsi="宋体"/>
          <w:color w:val="auto"/>
          <w:szCs w:val="21"/>
          <w:highlight w:val="none"/>
        </w:rPr>
        <w:t>。【提供</w:t>
      </w:r>
      <w:r>
        <w:rPr>
          <w:rFonts w:hint="eastAsia" w:ascii="宋体" w:hAnsi="宋体" w:eastAsia="宋体" w:cs="宋体"/>
          <w:b w:val="0"/>
          <w:bCs w:val="0"/>
          <w:color w:val="auto"/>
          <w:sz w:val="21"/>
          <w:szCs w:val="21"/>
          <w:highlight w:val="none"/>
          <w:u w:val="single"/>
        </w:rPr>
        <w:t>有效的相关</w:t>
      </w:r>
      <w:r>
        <w:rPr>
          <w:rFonts w:hint="eastAsia" w:ascii="宋体" w:hAnsi="宋体"/>
          <w:color w:val="auto"/>
          <w:szCs w:val="21"/>
          <w:highlight w:val="none"/>
        </w:rPr>
        <w:t>证书复印件</w:t>
      </w:r>
      <w:r>
        <w:rPr>
          <w:rFonts w:hint="eastAsia" w:ascii="宋体" w:hAnsi="宋体" w:eastAsia="宋体" w:cs="Times New Roman"/>
          <w:color w:val="auto"/>
          <w:szCs w:val="21"/>
          <w:highlight w:val="none"/>
        </w:rPr>
        <w:t>并提供社保部门出具的</w:t>
      </w:r>
      <w:r>
        <w:rPr>
          <w:rFonts w:hint="eastAsia" w:ascii="宋体" w:hAnsi="宋体" w:eastAsia="宋体" w:cs="Times New Roman"/>
          <w:color w:val="auto"/>
          <w:szCs w:val="21"/>
          <w:highlight w:val="none"/>
          <w:lang w:val="en-US" w:eastAsia="zh-CN"/>
        </w:rPr>
        <w:t>响应人</w:t>
      </w:r>
      <w:r>
        <w:rPr>
          <w:rFonts w:hint="eastAsia" w:ascii="宋体" w:hAnsi="宋体" w:eastAsia="宋体" w:cs="Times New Roman"/>
          <w:color w:val="auto"/>
          <w:szCs w:val="21"/>
          <w:highlight w:val="none"/>
        </w:rPr>
        <w:t>为其购买的</w:t>
      </w:r>
      <w:r>
        <w:rPr>
          <w:rFonts w:hint="eastAsia" w:ascii="宋体" w:hAnsi="宋体" w:eastAsia="宋体" w:cs="Times New Roman"/>
          <w:color w:val="auto"/>
          <w:szCs w:val="21"/>
          <w:highlight w:val="none"/>
          <w:lang w:val="en-US" w:eastAsia="zh-CN"/>
        </w:rPr>
        <w:t>投标截止前</w:t>
      </w:r>
      <w:r>
        <w:rPr>
          <w:rFonts w:hint="eastAsia" w:ascii="宋体" w:hAnsi="宋体" w:eastAsia="宋体" w:cs="Times New Roman"/>
          <w:color w:val="auto"/>
          <w:szCs w:val="21"/>
          <w:highlight w:val="none"/>
        </w:rPr>
        <w:t>近六个月内任意一个月的社会保险证明材料</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并</w:t>
      </w:r>
      <w:r>
        <w:rPr>
          <w:rFonts w:hint="eastAsia" w:ascii="宋体" w:hAnsi="宋体"/>
          <w:color w:val="auto"/>
          <w:szCs w:val="21"/>
          <w:highlight w:val="none"/>
        </w:rPr>
        <w:t>加盖公</w:t>
      </w:r>
      <w:r>
        <w:rPr>
          <w:rFonts w:hint="eastAsia" w:ascii="宋体" w:hAnsi="宋体"/>
          <w:b w:val="0"/>
          <w:bCs w:val="0"/>
          <w:color w:val="auto"/>
          <w:szCs w:val="21"/>
          <w:highlight w:val="none"/>
          <w:lang w:val="en-US" w:eastAsia="zh-CN"/>
        </w:rPr>
        <w:t>章</w:t>
      </w:r>
      <w:r>
        <w:rPr>
          <w:rFonts w:hint="eastAsia" w:ascii="宋体" w:hAnsi="宋体"/>
          <w:color w:val="auto"/>
          <w:szCs w:val="21"/>
          <w:highlight w:val="none"/>
        </w:rPr>
        <w:t>】</w:t>
      </w:r>
    </w:p>
    <w:p w14:paraId="38848D56">
      <w:pPr>
        <w:numPr>
          <w:ilvl w:val="0"/>
          <w:numId w:val="0"/>
        </w:numPr>
        <w:spacing w:line="360" w:lineRule="auto"/>
        <w:ind w:left="826" w:leftChars="0" w:firstLine="18" w:firstLineChars="9"/>
        <w:rPr>
          <w:rFonts w:hint="eastAsia" w:ascii="宋体" w:hAnsi="宋体"/>
          <w:color w:val="auto"/>
          <w:szCs w:val="21"/>
          <w:highlight w:val="none"/>
        </w:rPr>
      </w:pPr>
      <w:r>
        <w:rPr>
          <w:rFonts w:hint="eastAsia" w:ascii="宋体" w:hAnsi="宋体"/>
          <w:color w:val="auto"/>
          <w:szCs w:val="21"/>
          <w:highlight w:val="none"/>
          <w:lang w:val="en-US" w:eastAsia="zh-CN"/>
        </w:rPr>
        <w:t>标包2：</w:t>
      </w:r>
      <w:r>
        <w:rPr>
          <w:rFonts w:hint="eastAsia" w:ascii="宋体" w:hAnsi="宋体"/>
          <w:color w:val="auto"/>
          <w:szCs w:val="21"/>
          <w:highlight w:val="none"/>
        </w:rPr>
        <w:t>响应人拟派项目负责人须具备</w:t>
      </w:r>
      <w:r>
        <w:rPr>
          <w:rFonts w:ascii="宋体" w:hAnsi="宋体"/>
          <w:color w:val="auto"/>
          <w:szCs w:val="21"/>
          <w:highlight w:val="none"/>
          <w:u w:val="single"/>
        </w:rPr>
        <w:t xml:space="preserve"> </w:t>
      </w:r>
      <w:r>
        <w:rPr>
          <w:rFonts w:hint="eastAsia" w:ascii="宋体" w:hAnsi="宋体"/>
          <w:color w:val="auto"/>
          <w:szCs w:val="21"/>
          <w:highlight w:val="none"/>
          <w:u w:val="single"/>
        </w:rPr>
        <w:t>注册会计师证书</w:t>
      </w:r>
      <w:r>
        <w:rPr>
          <w:rFonts w:ascii="宋体" w:hAnsi="宋体"/>
          <w:color w:val="auto"/>
          <w:szCs w:val="21"/>
          <w:highlight w:val="none"/>
          <w:u w:val="single"/>
        </w:rPr>
        <w:t xml:space="preserve"> </w:t>
      </w:r>
      <w:r>
        <w:rPr>
          <w:rFonts w:hint="eastAsia" w:ascii="宋体" w:hAnsi="宋体"/>
          <w:color w:val="auto"/>
          <w:szCs w:val="21"/>
          <w:highlight w:val="none"/>
        </w:rPr>
        <w:t>。【提供</w:t>
      </w:r>
      <w:r>
        <w:rPr>
          <w:rFonts w:hint="eastAsia" w:ascii="宋体" w:hAnsi="宋体" w:eastAsia="宋体" w:cs="宋体"/>
          <w:b w:val="0"/>
          <w:bCs w:val="0"/>
          <w:color w:val="auto"/>
          <w:sz w:val="21"/>
          <w:szCs w:val="21"/>
          <w:highlight w:val="none"/>
          <w:u w:val="single"/>
        </w:rPr>
        <w:t>有效的相关</w:t>
      </w:r>
      <w:r>
        <w:rPr>
          <w:rFonts w:hint="eastAsia" w:ascii="宋体" w:hAnsi="宋体"/>
          <w:color w:val="auto"/>
          <w:szCs w:val="21"/>
          <w:highlight w:val="none"/>
        </w:rPr>
        <w:t>证书复印件</w:t>
      </w:r>
      <w:r>
        <w:rPr>
          <w:rFonts w:hint="eastAsia" w:ascii="宋体" w:hAnsi="宋体" w:eastAsia="宋体" w:cs="Times New Roman"/>
          <w:color w:val="auto"/>
          <w:szCs w:val="21"/>
          <w:highlight w:val="none"/>
        </w:rPr>
        <w:t>并提供社保部门出具的</w:t>
      </w:r>
      <w:r>
        <w:rPr>
          <w:rFonts w:hint="eastAsia" w:ascii="宋体" w:hAnsi="宋体" w:eastAsia="宋体" w:cs="Times New Roman"/>
          <w:color w:val="auto"/>
          <w:szCs w:val="21"/>
          <w:highlight w:val="none"/>
          <w:lang w:val="en-US" w:eastAsia="zh-CN"/>
        </w:rPr>
        <w:t>响应人</w:t>
      </w:r>
      <w:r>
        <w:rPr>
          <w:rFonts w:hint="eastAsia" w:ascii="宋体" w:hAnsi="宋体" w:eastAsia="宋体" w:cs="Times New Roman"/>
          <w:color w:val="auto"/>
          <w:szCs w:val="21"/>
          <w:highlight w:val="none"/>
        </w:rPr>
        <w:t>为其购买的</w:t>
      </w:r>
      <w:r>
        <w:rPr>
          <w:rFonts w:hint="eastAsia" w:ascii="宋体" w:hAnsi="宋体" w:eastAsia="宋体" w:cs="Times New Roman"/>
          <w:color w:val="auto"/>
          <w:szCs w:val="21"/>
          <w:highlight w:val="none"/>
          <w:lang w:val="en-US" w:eastAsia="zh-CN"/>
        </w:rPr>
        <w:t>投标截止前</w:t>
      </w:r>
      <w:r>
        <w:rPr>
          <w:rFonts w:hint="eastAsia" w:ascii="宋体" w:hAnsi="宋体" w:eastAsia="宋体" w:cs="Times New Roman"/>
          <w:color w:val="auto"/>
          <w:szCs w:val="21"/>
          <w:highlight w:val="none"/>
        </w:rPr>
        <w:t>近六个月内任意一个月的社会保险证明材料</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并</w:t>
      </w:r>
      <w:r>
        <w:rPr>
          <w:rFonts w:hint="eastAsia" w:ascii="宋体" w:hAnsi="宋体"/>
          <w:color w:val="auto"/>
          <w:szCs w:val="21"/>
          <w:highlight w:val="none"/>
        </w:rPr>
        <w:t>加盖公</w:t>
      </w:r>
      <w:r>
        <w:rPr>
          <w:rFonts w:hint="eastAsia" w:ascii="宋体" w:hAnsi="宋体"/>
          <w:b w:val="0"/>
          <w:bCs w:val="0"/>
          <w:color w:val="auto"/>
          <w:szCs w:val="21"/>
          <w:highlight w:val="none"/>
          <w:lang w:val="en-US" w:eastAsia="zh-CN"/>
        </w:rPr>
        <w:t>章</w:t>
      </w:r>
      <w:r>
        <w:rPr>
          <w:rFonts w:hint="eastAsia" w:ascii="宋体" w:hAnsi="宋体"/>
          <w:color w:val="auto"/>
          <w:szCs w:val="21"/>
          <w:highlight w:val="none"/>
        </w:rPr>
        <w:t>】</w:t>
      </w:r>
    </w:p>
    <w:p w14:paraId="28186D74">
      <w:pPr>
        <w:numPr>
          <w:ilvl w:val="1"/>
          <w:numId w:val="3"/>
        </w:numPr>
        <w:spacing w:line="360" w:lineRule="auto"/>
        <w:ind w:left="851" w:hanging="425"/>
        <w:rPr>
          <w:rFonts w:ascii="宋体" w:hAnsi="宋体"/>
          <w:color w:val="auto"/>
          <w:szCs w:val="21"/>
          <w:highlight w:val="none"/>
        </w:rPr>
      </w:pPr>
      <w:r>
        <w:rPr>
          <w:rFonts w:hint="eastAsia" w:ascii="宋体" w:hAnsi="宋体"/>
          <w:color w:val="auto"/>
          <w:szCs w:val="21"/>
          <w:highlight w:val="none"/>
        </w:rPr>
        <w:t>响应人的单位负责人为同一人或者存在直接控股、管理关系的不同响应人，不得参加同一合同项下的采购活动。</w:t>
      </w:r>
    </w:p>
    <w:p w14:paraId="5944215D">
      <w:pPr>
        <w:numPr>
          <w:ilvl w:val="1"/>
          <w:numId w:val="3"/>
        </w:numPr>
        <w:spacing w:line="360" w:lineRule="auto"/>
        <w:ind w:left="851" w:hanging="425"/>
        <w:rPr>
          <w:rFonts w:ascii="宋体" w:hAnsi="宋体"/>
          <w:color w:val="auto"/>
          <w:szCs w:val="21"/>
          <w:highlight w:val="none"/>
        </w:rPr>
      </w:pPr>
      <w:r>
        <w:rPr>
          <w:rFonts w:hint="eastAsia" w:ascii="宋体" w:hAnsi="宋体"/>
          <w:color w:val="auto"/>
          <w:szCs w:val="21"/>
          <w:highlight w:val="none"/>
        </w:rPr>
        <w:t>响应人参加采购活动前三年内，在经营活动中没有重大违法记录。【提供书面声明】</w:t>
      </w:r>
    </w:p>
    <w:p w14:paraId="67D10EB2">
      <w:pPr>
        <w:numPr>
          <w:ilvl w:val="1"/>
          <w:numId w:val="3"/>
        </w:numPr>
        <w:spacing w:line="360" w:lineRule="auto"/>
        <w:ind w:left="851" w:hanging="425"/>
        <w:rPr>
          <w:rFonts w:ascii="宋体" w:hAnsi="宋体"/>
          <w:color w:val="auto"/>
          <w:szCs w:val="21"/>
          <w:highlight w:val="none"/>
        </w:rPr>
      </w:pPr>
      <w:r>
        <w:rPr>
          <w:rFonts w:hint="eastAsia" w:ascii="宋体" w:hAnsi="宋体"/>
          <w:color w:val="auto"/>
          <w:szCs w:val="21"/>
          <w:highlight w:val="none"/>
        </w:rPr>
        <w:t>响应人未被列入“信用中国”网站(www.creditchina.gov.cn)“记录失信被执行人或</w:t>
      </w:r>
      <w:r>
        <w:rPr>
          <w:rFonts w:hint="eastAsia"/>
          <w:color w:val="auto"/>
          <w:highlight w:val="none"/>
        </w:rPr>
        <w:t>重大税收违法失信主体</w:t>
      </w:r>
      <w:r>
        <w:rPr>
          <w:rFonts w:hint="eastAsia" w:ascii="宋体" w:hAnsi="宋体"/>
          <w:color w:val="auto"/>
          <w:szCs w:val="21"/>
          <w:highlight w:val="none"/>
        </w:rPr>
        <w:t>或政府采购严重违法失信行为”记录名单。【以响应截止日当天在“信用中国”网站（www.creditchina.gov.cn）查询结果为准，如相关失信记录已失效，响应人需提供相关证明资料】</w:t>
      </w:r>
    </w:p>
    <w:p w14:paraId="5695D324">
      <w:pPr>
        <w:numPr>
          <w:ilvl w:val="1"/>
          <w:numId w:val="3"/>
        </w:numPr>
        <w:spacing w:line="360" w:lineRule="auto"/>
        <w:ind w:left="851" w:hanging="425"/>
        <w:rPr>
          <w:rFonts w:ascii="宋体" w:hAnsi="宋体"/>
          <w:color w:val="auto"/>
          <w:szCs w:val="21"/>
          <w:highlight w:val="none"/>
        </w:rPr>
      </w:pPr>
      <w:r>
        <w:rPr>
          <w:rFonts w:hint="eastAsia" w:ascii="宋体" w:hAnsi="宋体"/>
          <w:color w:val="auto"/>
          <w:szCs w:val="21"/>
          <w:highlight w:val="none"/>
        </w:rPr>
        <w:t>未被列入东实集团及下属企业</w:t>
      </w:r>
      <w:r>
        <w:rPr>
          <w:rFonts w:hint="eastAsia" w:ascii="宋体" w:hAnsi="宋体"/>
          <w:color w:val="auto"/>
          <w:szCs w:val="21"/>
          <w:highlight w:val="none"/>
          <w:lang w:val="en-US" w:eastAsia="zh-CN"/>
        </w:rPr>
        <w:t>相关</w:t>
      </w:r>
      <w:r>
        <w:rPr>
          <w:rFonts w:hint="eastAsia" w:ascii="宋体" w:hAnsi="宋体"/>
          <w:color w:val="auto"/>
          <w:szCs w:val="21"/>
          <w:highlight w:val="none"/>
        </w:rPr>
        <w:t>领域黑名单。【以东莞实业投资控股集团有限公司发文（东实通〔2021〕44号）、（东实通〔2021〕98号）</w:t>
      </w:r>
      <w:r>
        <w:rPr>
          <w:rFonts w:hint="eastAsia" w:ascii="宋体" w:hAnsi="宋体"/>
          <w:color w:val="auto"/>
          <w:szCs w:val="21"/>
          <w:highlight w:val="none"/>
          <w:lang w:eastAsia="zh-CN"/>
        </w:rPr>
        <w:t>、</w:t>
      </w:r>
      <w:r>
        <w:rPr>
          <w:rFonts w:hint="default" w:ascii="宋体" w:hAnsi="宋体"/>
          <w:color w:val="auto"/>
          <w:szCs w:val="21"/>
          <w:highlight w:val="none"/>
          <w:lang w:eastAsia="zh-CN"/>
        </w:rPr>
        <w:t>（东实通〔2022〕75号）</w:t>
      </w:r>
      <w:r>
        <w:rPr>
          <w:rFonts w:hint="eastAsia" w:ascii="宋体" w:hAnsi="宋体"/>
          <w:color w:val="auto"/>
          <w:szCs w:val="21"/>
          <w:highlight w:val="none"/>
          <w:lang w:eastAsia="zh-CN"/>
        </w:rPr>
        <w:t>、</w:t>
      </w:r>
      <w:r>
        <w:rPr>
          <w:rFonts w:hint="default" w:ascii="宋体" w:hAnsi="宋体"/>
          <w:color w:val="auto"/>
          <w:szCs w:val="21"/>
          <w:highlight w:val="none"/>
          <w:lang w:eastAsia="zh-CN"/>
        </w:rPr>
        <w:t>（东实通〔2023〕37号）</w:t>
      </w:r>
      <w:r>
        <w:rPr>
          <w:rFonts w:hint="eastAsia" w:ascii="宋体" w:hAnsi="宋体"/>
          <w:color w:val="auto"/>
          <w:szCs w:val="21"/>
          <w:highlight w:val="none"/>
        </w:rPr>
        <w:t>为准</w:t>
      </w:r>
      <w:r>
        <w:rPr>
          <w:rFonts w:hint="default" w:ascii="宋体" w:hAnsi="宋体"/>
          <w:color w:val="auto"/>
          <w:szCs w:val="21"/>
          <w:highlight w:val="none"/>
          <w:lang w:eastAsia="zh-CN"/>
        </w:rPr>
        <w:t>，</w:t>
      </w:r>
      <w:r>
        <w:rPr>
          <w:rFonts w:hint="default" w:ascii="宋体" w:hAnsi="宋体"/>
          <w:color w:val="auto"/>
          <w:szCs w:val="21"/>
          <w:highlight w:val="none"/>
          <w:lang w:val="en-US" w:eastAsia="zh-CN"/>
        </w:rPr>
        <w:t>如有最新发文通知，按最新文件执行</w:t>
      </w:r>
      <w:r>
        <w:rPr>
          <w:rFonts w:hint="eastAsia" w:ascii="宋体" w:hAnsi="宋体"/>
          <w:color w:val="auto"/>
          <w:szCs w:val="21"/>
          <w:highlight w:val="none"/>
        </w:rPr>
        <w:t>】</w:t>
      </w:r>
    </w:p>
    <w:p w14:paraId="6CC138D0">
      <w:pPr>
        <w:numPr>
          <w:ilvl w:val="1"/>
          <w:numId w:val="3"/>
        </w:numPr>
        <w:spacing w:line="360" w:lineRule="auto"/>
        <w:ind w:left="851" w:hanging="425"/>
        <w:rPr>
          <w:rFonts w:ascii="宋体" w:hAnsi="宋体"/>
          <w:color w:val="auto"/>
          <w:szCs w:val="21"/>
          <w:highlight w:val="none"/>
        </w:rPr>
      </w:pPr>
      <w:r>
        <w:rPr>
          <w:rFonts w:hint="eastAsia" w:ascii="宋体" w:hAnsi="宋体"/>
          <w:color w:val="auto"/>
          <w:szCs w:val="21"/>
          <w:highlight w:val="none"/>
        </w:rPr>
        <w:t>本项目</w:t>
      </w:r>
      <w:r>
        <w:rPr>
          <w:rFonts w:hint="eastAsia" w:ascii="宋体" w:hAnsi="宋体"/>
          <w:color w:val="auto"/>
          <w:szCs w:val="21"/>
          <w:highlight w:val="none"/>
          <w:u w:val="single"/>
        </w:rPr>
        <w:t>（不接受）</w:t>
      </w:r>
      <w:r>
        <w:rPr>
          <w:rFonts w:hint="eastAsia" w:ascii="宋体" w:hAnsi="宋体"/>
          <w:color w:val="auto"/>
          <w:szCs w:val="21"/>
          <w:highlight w:val="none"/>
        </w:rPr>
        <w:t>联合体响应。联合体响应的，应满足下列要求：</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6DE12E62">
      <w:pPr>
        <w:spacing w:line="360" w:lineRule="auto"/>
        <w:rPr>
          <w:rFonts w:ascii="黑体" w:eastAsia="黑体"/>
          <w:b/>
          <w:color w:val="auto"/>
          <w:sz w:val="28"/>
          <w:szCs w:val="28"/>
          <w:highlight w:val="none"/>
        </w:rPr>
      </w:pPr>
      <w:r>
        <w:rPr>
          <w:rFonts w:ascii="黑体" w:eastAsia="黑体"/>
          <w:b/>
          <w:color w:val="auto"/>
          <w:sz w:val="28"/>
          <w:szCs w:val="28"/>
          <w:highlight w:val="none"/>
        </w:rPr>
        <w:t>三、 竞争性谈判文件的获取</w:t>
      </w:r>
    </w:p>
    <w:p w14:paraId="3C57BDF7">
      <w:pPr>
        <w:pStyle w:val="107"/>
        <w:spacing w:line="360" w:lineRule="auto"/>
        <w:ind w:left="850" w:leftChars="208" w:hanging="413" w:hangingChars="197"/>
        <w:rPr>
          <w:rFonts w:ascii="宋体" w:hAnsi="宋体"/>
          <w:color w:val="auto"/>
          <w:szCs w:val="21"/>
          <w:highlight w:val="none"/>
        </w:rPr>
      </w:pPr>
      <w:r>
        <w:rPr>
          <w:rFonts w:hint="eastAsia" w:ascii="宋体" w:hAnsi="宋体"/>
          <w:color w:val="auto"/>
          <w:szCs w:val="21"/>
          <w:highlight w:val="none"/>
        </w:rPr>
        <w:t>3.1</w:t>
      </w:r>
      <w:r>
        <w:rPr>
          <w:rFonts w:ascii="宋体" w:hAnsi="宋体"/>
          <w:color w:val="auto"/>
          <w:szCs w:val="21"/>
          <w:highlight w:val="none"/>
        </w:rPr>
        <w:t>竞争性谈判文件获取时间：</w:t>
      </w:r>
      <w:r>
        <w:rPr>
          <w:rFonts w:hint="eastAsia"/>
          <w:color w:val="auto"/>
          <w:highlight w:val="none"/>
          <w:lang w:eastAsia="zh-CN"/>
        </w:rPr>
        <w:t>2026</w:t>
      </w:r>
      <w:r>
        <w:rPr>
          <w:color w:val="auto"/>
          <w:highlight w:val="none"/>
          <w:u w:val="none"/>
        </w:rPr>
        <w:t>年</w:t>
      </w:r>
      <w:r>
        <w:rPr>
          <w:rFonts w:hint="eastAsia"/>
          <w:color w:val="auto"/>
          <w:highlight w:val="none"/>
          <w:u w:val="none"/>
          <w:lang w:val="en-US" w:eastAsia="zh-CN"/>
        </w:rPr>
        <w:t>6</w:t>
      </w:r>
      <w:r>
        <w:rPr>
          <w:color w:val="auto"/>
          <w:highlight w:val="none"/>
          <w:u w:val="none"/>
        </w:rPr>
        <w:t>月</w:t>
      </w:r>
      <w:r>
        <w:rPr>
          <w:rFonts w:hint="eastAsia"/>
          <w:color w:val="auto"/>
          <w:highlight w:val="none"/>
          <w:u w:val="none"/>
          <w:lang w:val="en-US" w:eastAsia="zh-CN"/>
        </w:rPr>
        <w:t>4</w:t>
      </w:r>
      <w:r>
        <w:rPr>
          <w:color w:val="auto"/>
          <w:highlight w:val="none"/>
          <w:u w:val="none"/>
        </w:rPr>
        <w:t>日至</w:t>
      </w:r>
      <w:r>
        <w:rPr>
          <w:rFonts w:hint="eastAsia"/>
          <w:color w:val="auto"/>
          <w:highlight w:val="none"/>
          <w:u w:val="none"/>
          <w:lang w:eastAsia="zh-CN"/>
        </w:rPr>
        <w:t>2026</w:t>
      </w:r>
      <w:r>
        <w:rPr>
          <w:color w:val="auto"/>
          <w:highlight w:val="none"/>
          <w:u w:val="none"/>
        </w:rPr>
        <w:t>年</w:t>
      </w:r>
      <w:r>
        <w:rPr>
          <w:rFonts w:hint="eastAsia"/>
          <w:color w:val="auto"/>
          <w:highlight w:val="none"/>
          <w:u w:val="none"/>
          <w:lang w:val="en-US" w:eastAsia="zh-CN"/>
        </w:rPr>
        <w:t>6</w:t>
      </w:r>
      <w:r>
        <w:rPr>
          <w:color w:val="auto"/>
          <w:highlight w:val="none"/>
          <w:u w:val="none"/>
        </w:rPr>
        <w:t>月</w:t>
      </w:r>
      <w:r>
        <w:rPr>
          <w:rFonts w:hint="eastAsia"/>
          <w:color w:val="auto"/>
          <w:highlight w:val="none"/>
          <w:u w:val="none"/>
          <w:lang w:val="en-US" w:eastAsia="zh-CN"/>
        </w:rPr>
        <w:t>9</w:t>
      </w:r>
      <w:r>
        <w:rPr>
          <w:color w:val="auto"/>
          <w:highlight w:val="none"/>
          <w:u w:val="none"/>
        </w:rPr>
        <w:t>日。</w:t>
      </w:r>
    </w:p>
    <w:p w14:paraId="2816DF77">
      <w:pPr>
        <w:pStyle w:val="107"/>
        <w:spacing w:line="360" w:lineRule="auto"/>
        <w:ind w:left="850" w:leftChars="208" w:hanging="413" w:hangingChars="197"/>
        <w:rPr>
          <w:color w:val="auto"/>
          <w:highlight w:val="none"/>
        </w:rPr>
      </w:pPr>
      <w:r>
        <w:rPr>
          <w:rFonts w:hint="eastAsia" w:ascii="宋体" w:hAnsi="宋体"/>
          <w:color w:val="auto"/>
          <w:szCs w:val="21"/>
          <w:highlight w:val="none"/>
        </w:rPr>
        <w:t>3.2</w:t>
      </w:r>
      <w:r>
        <w:rPr>
          <w:color w:val="auto"/>
          <w:highlight w:val="none"/>
        </w:rPr>
        <w:t>竞争性谈判文件获取</w:t>
      </w:r>
      <w:r>
        <w:rPr>
          <w:rFonts w:hint="eastAsia"/>
          <w:color w:val="auto"/>
          <w:highlight w:val="none"/>
        </w:rPr>
        <w:t>地点</w:t>
      </w:r>
      <w:r>
        <w:rPr>
          <w:color w:val="auto"/>
          <w:highlight w:val="none"/>
        </w:rPr>
        <w:t>：</w:t>
      </w:r>
      <w:r>
        <w:rPr>
          <w:rFonts w:hint="eastAsia"/>
          <w:color w:val="auto"/>
          <w:highlight w:val="none"/>
          <w:u w:val="single"/>
        </w:rPr>
        <w:t>/</w:t>
      </w:r>
      <w:r>
        <w:rPr>
          <w:color w:val="auto"/>
          <w:highlight w:val="none"/>
        </w:rPr>
        <w:t>。</w:t>
      </w:r>
    </w:p>
    <w:p w14:paraId="635EAFB6">
      <w:pPr>
        <w:pStyle w:val="107"/>
        <w:spacing w:line="360" w:lineRule="auto"/>
        <w:ind w:left="850" w:leftChars="208" w:hanging="413" w:hangingChars="197"/>
        <w:rPr>
          <w:color w:val="auto"/>
          <w:highlight w:val="none"/>
        </w:rPr>
      </w:pPr>
      <w:r>
        <w:rPr>
          <w:rFonts w:hint="eastAsia" w:ascii="宋体" w:hAnsi="宋体"/>
          <w:color w:val="auto"/>
          <w:szCs w:val="21"/>
          <w:highlight w:val="none"/>
        </w:rPr>
        <w:t>3.3</w:t>
      </w:r>
      <w:r>
        <w:rPr>
          <w:rFonts w:ascii="宋体" w:hAnsi="宋体"/>
          <w:color w:val="auto"/>
          <w:szCs w:val="21"/>
          <w:highlight w:val="none"/>
        </w:rPr>
        <w:t>竞争性谈判文件</w:t>
      </w:r>
      <w:r>
        <w:rPr>
          <w:color w:val="auto"/>
          <w:highlight w:val="none"/>
        </w:rPr>
        <w:t>获取方式：</w:t>
      </w:r>
      <w:r>
        <w:rPr>
          <w:rFonts w:hint="eastAsia"/>
          <w:color w:val="auto"/>
          <w:highlight w:val="none"/>
          <w:u w:val="single"/>
        </w:rPr>
        <w:t>东莞实业投资控股集团有限公司网站（http://www.dgsy.com.cn/）—招标采购栏目</w:t>
      </w:r>
      <w:r>
        <w:rPr>
          <w:rFonts w:hint="eastAsia"/>
          <w:color w:val="auto"/>
          <w:highlight w:val="none"/>
        </w:rPr>
        <w:t>不记名免费下载</w:t>
      </w:r>
      <w:r>
        <w:rPr>
          <w:color w:val="auto"/>
          <w:highlight w:val="none"/>
        </w:rPr>
        <w:t>。</w:t>
      </w:r>
    </w:p>
    <w:p w14:paraId="096D6270">
      <w:pPr>
        <w:spacing w:line="360" w:lineRule="auto"/>
        <w:rPr>
          <w:rFonts w:ascii="黑体" w:eastAsia="黑体"/>
          <w:b/>
          <w:color w:val="auto"/>
          <w:sz w:val="28"/>
          <w:szCs w:val="28"/>
          <w:highlight w:val="none"/>
        </w:rPr>
      </w:pPr>
      <w:r>
        <w:rPr>
          <w:rFonts w:ascii="黑体" w:eastAsia="黑体"/>
          <w:b/>
          <w:color w:val="auto"/>
          <w:sz w:val="28"/>
          <w:szCs w:val="28"/>
          <w:highlight w:val="none"/>
        </w:rPr>
        <w:t xml:space="preserve">四、 响应文件的递交 </w:t>
      </w:r>
    </w:p>
    <w:p w14:paraId="16A1F9B2">
      <w:pPr>
        <w:pStyle w:val="107"/>
        <w:spacing w:line="360" w:lineRule="auto"/>
        <w:ind w:left="850" w:leftChars="208" w:hanging="413" w:hangingChars="197"/>
        <w:rPr>
          <w:color w:val="auto"/>
          <w:highlight w:val="none"/>
        </w:rPr>
      </w:pPr>
      <w:r>
        <w:rPr>
          <w:rFonts w:hint="eastAsia" w:ascii="宋体" w:hAnsi="宋体"/>
          <w:color w:val="auto"/>
          <w:szCs w:val="21"/>
          <w:highlight w:val="none"/>
        </w:rPr>
        <w:t>4.1</w:t>
      </w:r>
      <w:r>
        <w:rPr>
          <w:color w:val="auto"/>
          <w:highlight w:val="none"/>
        </w:rPr>
        <w:t>响应文件递交的截止时间</w:t>
      </w:r>
      <w:r>
        <w:rPr>
          <w:color w:val="auto"/>
          <w:highlight w:val="none"/>
          <w:u w:val="none"/>
        </w:rPr>
        <w:t>为</w:t>
      </w:r>
      <w:r>
        <w:rPr>
          <w:rFonts w:hint="eastAsia"/>
          <w:color w:val="auto"/>
          <w:highlight w:val="none"/>
          <w:u w:val="none"/>
          <w:lang w:eastAsia="zh-CN"/>
        </w:rPr>
        <w:t>2026</w:t>
      </w:r>
      <w:r>
        <w:rPr>
          <w:color w:val="auto"/>
          <w:highlight w:val="none"/>
          <w:u w:val="none"/>
        </w:rPr>
        <w:t>年</w:t>
      </w:r>
      <w:r>
        <w:rPr>
          <w:rFonts w:hint="eastAsia"/>
          <w:color w:val="auto"/>
          <w:highlight w:val="none"/>
          <w:u w:val="none"/>
          <w:lang w:val="en-US" w:eastAsia="zh-CN"/>
        </w:rPr>
        <w:t>6</w:t>
      </w:r>
      <w:r>
        <w:rPr>
          <w:color w:val="auto"/>
          <w:highlight w:val="none"/>
          <w:u w:val="none"/>
        </w:rPr>
        <w:t>月</w:t>
      </w:r>
      <w:r>
        <w:rPr>
          <w:rFonts w:hint="eastAsia"/>
          <w:color w:val="auto"/>
          <w:highlight w:val="none"/>
          <w:u w:val="none"/>
          <w:lang w:val="en-US" w:eastAsia="zh-CN"/>
        </w:rPr>
        <w:t>10</w:t>
      </w:r>
      <w:r>
        <w:rPr>
          <w:color w:val="auto"/>
          <w:highlight w:val="none"/>
          <w:u w:val="none"/>
        </w:rPr>
        <w:t>日</w:t>
      </w:r>
      <w:r>
        <w:rPr>
          <w:rFonts w:hint="eastAsia"/>
          <w:color w:val="auto"/>
          <w:highlight w:val="none"/>
          <w:u w:val="none"/>
          <w:lang w:val="en-US" w:eastAsia="zh-CN"/>
        </w:rPr>
        <w:t>09</w:t>
      </w:r>
      <w:r>
        <w:rPr>
          <w:color w:val="auto"/>
          <w:highlight w:val="none"/>
          <w:u w:val="none"/>
        </w:rPr>
        <w:t>时</w:t>
      </w:r>
      <w:r>
        <w:rPr>
          <w:rFonts w:hint="eastAsia"/>
          <w:color w:val="auto"/>
          <w:highlight w:val="none"/>
          <w:u w:val="none"/>
          <w:lang w:val="en-US" w:eastAsia="zh-CN"/>
        </w:rPr>
        <w:t>30</w:t>
      </w:r>
      <w:r>
        <w:rPr>
          <w:color w:val="auto"/>
          <w:highlight w:val="none"/>
          <w:u w:val="none"/>
        </w:rPr>
        <w:t>分</w:t>
      </w:r>
      <w:r>
        <w:rPr>
          <w:color w:val="auto"/>
          <w:highlight w:val="none"/>
        </w:rPr>
        <w:t>，递交地点为</w:t>
      </w:r>
      <w:r>
        <w:rPr>
          <w:color w:val="auto"/>
          <w:highlight w:val="none"/>
          <w:u w:val="single"/>
        </w:rPr>
        <w:t xml:space="preserve"> </w:t>
      </w:r>
      <w:r>
        <w:rPr>
          <w:rFonts w:hint="eastAsia"/>
          <w:color w:val="auto"/>
          <w:highlight w:val="none"/>
          <w:u w:val="single"/>
          <w:lang w:eastAsia="zh-CN"/>
        </w:rPr>
        <w:t>东莞市南城街道鸿福路199号（市民服务中心）411室</w:t>
      </w:r>
      <w:r>
        <w:rPr>
          <w:color w:val="auto"/>
          <w:highlight w:val="none"/>
          <w:u w:val="single"/>
        </w:rPr>
        <w:t xml:space="preserve"> </w:t>
      </w:r>
      <w:r>
        <w:rPr>
          <w:color w:val="auto"/>
          <w:highlight w:val="none"/>
        </w:rPr>
        <w:t>。</w:t>
      </w:r>
    </w:p>
    <w:p w14:paraId="111C5CDC">
      <w:pPr>
        <w:pStyle w:val="107"/>
        <w:spacing w:line="360" w:lineRule="auto"/>
        <w:ind w:left="850" w:leftChars="208" w:hanging="413" w:hangingChars="197"/>
        <w:rPr>
          <w:rFonts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2</w:t>
      </w:r>
      <w:r>
        <w:rPr>
          <w:rFonts w:hint="eastAsia" w:ascii="宋体" w:hAnsi="宋体"/>
          <w:color w:val="auto"/>
          <w:szCs w:val="21"/>
          <w:highlight w:val="none"/>
        </w:rPr>
        <w:t>出现以下情形时，采购人/采购代理机构不予接收响应文件：</w:t>
      </w:r>
    </w:p>
    <w:p w14:paraId="7242D2A8">
      <w:pPr>
        <w:pStyle w:val="107"/>
        <w:spacing w:line="360" w:lineRule="auto"/>
        <w:ind w:left="850" w:leftChars="208" w:hanging="413" w:hangingChars="197"/>
        <w:rPr>
          <w:rFonts w:ascii="宋体" w:hAnsi="宋体"/>
          <w:color w:val="auto"/>
          <w:highlight w:val="none"/>
        </w:rPr>
      </w:pPr>
      <w:r>
        <w:rPr>
          <w:rFonts w:hint="eastAsia" w:ascii="宋体" w:hAnsi="宋体"/>
          <w:color w:val="auto"/>
          <w:highlight w:val="none"/>
        </w:rPr>
        <w:t>4.</w:t>
      </w:r>
      <w:r>
        <w:rPr>
          <w:rFonts w:ascii="宋体" w:hAnsi="宋体"/>
          <w:color w:val="auto"/>
          <w:highlight w:val="none"/>
        </w:rPr>
        <w:t>2</w:t>
      </w:r>
      <w:r>
        <w:rPr>
          <w:rFonts w:hint="eastAsia" w:ascii="宋体" w:hAnsi="宋体"/>
          <w:color w:val="auto"/>
          <w:highlight w:val="none"/>
        </w:rPr>
        <w:t>.1逾期送达或者未送达指定地点的；</w:t>
      </w:r>
    </w:p>
    <w:p w14:paraId="41BA1723">
      <w:pPr>
        <w:pStyle w:val="107"/>
        <w:spacing w:line="360" w:lineRule="auto"/>
        <w:ind w:left="850" w:leftChars="208" w:hanging="413" w:hangingChars="197"/>
        <w:rPr>
          <w:rFonts w:ascii="宋体" w:hAnsi="宋体"/>
          <w:color w:val="auto"/>
          <w:highlight w:val="none"/>
        </w:rPr>
      </w:pPr>
      <w:r>
        <w:rPr>
          <w:rFonts w:hint="eastAsia" w:ascii="宋体" w:hAnsi="宋体"/>
          <w:color w:val="auto"/>
          <w:highlight w:val="none"/>
        </w:rPr>
        <w:t>4.</w:t>
      </w:r>
      <w:r>
        <w:rPr>
          <w:rFonts w:ascii="宋体" w:hAnsi="宋体"/>
          <w:color w:val="auto"/>
          <w:highlight w:val="none"/>
        </w:rPr>
        <w:t>2</w:t>
      </w:r>
      <w:r>
        <w:rPr>
          <w:rFonts w:hint="eastAsia" w:ascii="宋体" w:hAnsi="宋体"/>
          <w:color w:val="auto"/>
          <w:highlight w:val="none"/>
        </w:rPr>
        <w:t>.2未按竞争性谈判文件要求密封的。</w:t>
      </w:r>
    </w:p>
    <w:p w14:paraId="22A3A7D0">
      <w:pPr>
        <w:spacing w:line="360" w:lineRule="auto"/>
        <w:rPr>
          <w:rFonts w:ascii="黑体" w:eastAsia="黑体"/>
          <w:b/>
          <w:color w:val="auto"/>
          <w:sz w:val="28"/>
          <w:szCs w:val="28"/>
          <w:highlight w:val="none"/>
        </w:rPr>
      </w:pPr>
      <w:r>
        <w:rPr>
          <w:rFonts w:ascii="黑体" w:eastAsia="黑体"/>
          <w:b/>
          <w:color w:val="auto"/>
          <w:sz w:val="28"/>
          <w:szCs w:val="28"/>
          <w:highlight w:val="none"/>
        </w:rPr>
        <w:t xml:space="preserve">五、 发布公告的媒介 </w:t>
      </w:r>
    </w:p>
    <w:p w14:paraId="60D1BE0A">
      <w:pPr>
        <w:spacing w:line="360" w:lineRule="auto"/>
        <w:ind w:left="-14" w:firstLine="640"/>
        <w:rPr>
          <w:rFonts w:hint="eastAsia"/>
          <w:color w:val="auto"/>
          <w:highlight w:val="none"/>
        </w:rPr>
      </w:pPr>
      <w:r>
        <w:rPr>
          <w:rFonts w:hint="eastAsia" w:ascii="宋体" w:hAnsi="宋体" w:eastAsia="宋体" w:cs="Times New Roman"/>
          <w:color w:val="auto"/>
          <w:kern w:val="2"/>
          <w:sz w:val="21"/>
          <w:szCs w:val="21"/>
          <w:highlight w:val="none"/>
          <w:lang w:val="en-US" w:eastAsia="zh-CN" w:bidi="ar-SA"/>
        </w:rPr>
        <w:t>1.1</w:t>
      </w:r>
      <w:r>
        <w:rPr>
          <w:rFonts w:hint="eastAsia"/>
          <w:color w:val="auto"/>
          <w:highlight w:val="none"/>
          <w:lang w:val="en-US" w:eastAsia="zh-CN"/>
        </w:rPr>
        <w:t>竞争性谈判公告发布媒介：</w:t>
      </w:r>
      <w:r>
        <w:rPr>
          <w:rFonts w:hint="eastAsia"/>
          <w:color w:val="auto"/>
          <w:highlight w:val="none"/>
        </w:rPr>
        <w:t>东莞实业投资控股集团有限公司网站</w:t>
      </w:r>
      <w:r>
        <w:rPr>
          <w:color w:val="auto"/>
          <w:highlight w:val="none"/>
        </w:rPr>
        <w:t>（</w:t>
      </w:r>
      <w:r>
        <w:rPr>
          <w:rFonts w:hint="eastAsia"/>
          <w:color w:val="auto"/>
          <w:highlight w:val="none"/>
        </w:rPr>
        <w:t>网址：http://www.dgsy.com.cn/</w:t>
      </w:r>
      <w:r>
        <w:rPr>
          <w:color w:val="auto"/>
          <w:highlight w:val="none"/>
        </w:rPr>
        <w:t>）</w:t>
      </w:r>
      <w:r>
        <w:rPr>
          <w:rFonts w:hint="eastAsia" w:ascii="宋体" w:hAnsi="宋体"/>
          <w:color w:val="auto"/>
          <w:szCs w:val="21"/>
          <w:highlight w:val="none"/>
        </w:rPr>
        <w:t>、</w:t>
      </w:r>
      <w:r>
        <w:rPr>
          <w:color w:val="auto"/>
          <w:highlight w:val="none"/>
          <w:u w:val="single"/>
        </w:rPr>
        <w:t xml:space="preserve"> </w:t>
      </w:r>
      <w:r>
        <w:rPr>
          <w:rFonts w:hint="eastAsia"/>
          <w:color w:val="auto"/>
          <w:highlight w:val="none"/>
          <w:u w:val="single"/>
          <w:lang w:eastAsia="zh-CN"/>
        </w:rPr>
        <w:t>广东政通招标有限公司</w:t>
      </w:r>
      <w:r>
        <w:rPr>
          <w:rFonts w:hint="eastAsia"/>
          <w:color w:val="auto"/>
          <w:highlight w:val="none"/>
          <w:u w:val="single"/>
        </w:rPr>
        <w:t>网</w:t>
      </w:r>
      <w:r>
        <w:rPr>
          <w:rFonts w:hint="eastAsia"/>
          <w:color w:val="auto"/>
          <w:highlight w:val="none"/>
          <w:u w:val="single"/>
          <w:lang w:val="en-US" w:eastAsia="zh-CN"/>
        </w:rPr>
        <w:t xml:space="preserve"> </w:t>
      </w:r>
      <w:r>
        <w:rPr>
          <w:rFonts w:hint="eastAsia" w:ascii="宋体" w:hAnsi="宋体"/>
          <w:color w:val="auto"/>
          <w:szCs w:val="21"/>
          <w:highlight w:val="none"/>
        </w:rPr>
        <w:t>（网址：</w:t>
      </w:r>
      <w:r>
        <w:rPr>
          <w:color w:val="auto"/>
          <w:highlight w:val="none"/>
          <w:u w:val="single"/>
        </w:rPr>
        <w:t xml:space="preserve"> </w:t>
      </w:r>
      <w:r>
        <w:rPr>
          <w:rFonts w:hint="eastAsia"/>
          <w:color w:val="auto"/>
          <w:highlight w:val="none"/>
          <w:u w:val="single"/>
          <w:lang w:eastAsia="zh-CN"/>
        </w:rPr>
        <w:t>http://www.zttendering.com/</w:t>
      </w:r>
      <w:r>
        <w:rPr>
          <w:rFonts w:hint="eastAsia" w:ascii="宋体" w:hAnsi="宋体"/>
          <w:color w:val="auto"/>
          <w:szCs w:val="21"/>
          <w:highlight w:val="none"/>
        </w:rPr>
        <w:t>）</w:t>
      </w:r>
      <w:r>
        <w:rPr>
          <w:rFonts w:hint="eastAsia"/>
          <w:color w:val="auto"/>
          <w:highlight w:val="none"/>
        </w:rPr>
        <w:t>。</w:t>
      </w:r>
    </w:p>
    <w:p w14:paraId="6119B04E">
      <w:pPr>
        <w:spacing w:line="360" w:lineRule="auto"/>
        <w:ind w:left="-14" w:firstLine="640"/>
        <w:rPr>
          <w:rFonts w:hint="eastAsia" w:eastAsia="宋体"/>
          <w:color w:val="auto"/>
          <w:highlight w:val="none"/>
          <w:lang w:val="en-US" w:eastAsia="zh-CN"/>
        </w:rPr>
      </w:pPr>
      <w:r>
        <w:rPr>
          <w:rFonts w:hint="eastAsia" w:ascii="宋体" w:hAnsi="宋体"/>
          <w:color w:val="auto"/>
          <w:szCs w:val="21"/>
          <w:highlight w:val="none"/>
          <w:lang w:val="en-US" w:eastAsia="zh-CN"/>
        </w:rPr>
        <w:t xml:space="preserve">1.2 </w:t>
      </w:r>
      <w:r>
        <w:rPr>
          <w:rFonts w:hint="eastAsia"/>
          <w:color w:val="auto"/>
          <w:highlight w:val="none"/>
        </w:rPr>
        <w:t>成交候选人公示发布</w:t>
      </w:r>
      <w:r>
        <w:rPr>
          <w:rFonts w:hint="eastAsia"/>
          <w:color w:val="auto"/>
          <w:highlight w:val="none"/>
          <w:lang w:val="en-US" w:eastAsia="zh-CN"/>
        </w:rPr>
        <w:t>媒介：</w:t>
      </w:r>
      <w:r>
        <w:rPr>
          <w:rFonts w:hint="eastAsia"/>
          <w:color w:val="auto"/>
          <w:highlight w:val="none"/>
          <w:u w:val="single"/>
          <w:lang w:val="en-US" w:eastAsia="zh-CN"/>
        </w:rPr>
        <w:t>东莞实业投资控股集团有限公司-招标采购栏目（http://www.dgsy.com.cn/）</w:t>
      </w:r>
      <w:r>
        <w:rPr>
          <w:rFonts w:hint="eastAsia"/>
          <w:color w:val="auto"/>
          <w:highlight w:val="none"/>
          <w:lang w:val="en-US" w:eastAsia="zh-CN"/>
        </w:rPr>
        <w:t>。</w:t>
      </w:r>
    </w:p>
    <w:p w14:paraId="480F86C8">
      <w:pPr>
        <w:spacing w:line="360" w:lineRule="auto"/>
        <w:rPr>
          <w:rFonts w:ascii="黑体" w:eastAsia="黑体"/>
          <w:b/>
          <w:color w:val="auto"/>
          <w:sz w:val="28"/>
          <w:szCs w:val="28"/>
          <w:highlight w:val="none"/>
        </w:rPr>
      </w:pPr>
      <w:r>
        <w:rPr>
          <w:rFonts w:ascii="黑体" w:eastAsia="黑体"/>
          <w:b/>
          <w:color w:val="auto"/>
          <w:sz w:val="28"/>
          <w:szCs w:val="28"/>
          <w:highlight w:val="none"/>
        </w:rPr>
        <w:t xml:space="preserve">六、 </w:t>
      </w:r>
      <w:r>
        <w:rPr>
          <w:rFonts w:hint="eastAsia" w:ascii="黑体" w:eastAsia="黑体"/>
          <w:b/>
          <w:color w:val="auto"/>
          <w:sz w:val="28"/>
          <w:szCs w:val="28"/>
          <w:highlight w:val="none"/>
        </w:rPr>
        <w:t>竞争性谈判保证金</w:t>
      </w:r>
      <w:r>
        <w:rPr>
          <w:rFonts w:ascii="黑体" w:eastAsia="黑体"/>
          <w:b/>
          <w:color w:val="auto"/>
          <w:sz w:val="28"/>
          <w:szCs w:val="28"/>
          <w:highlight w:val="none"/>
        </w:rPr>
        <w:t xml:space="preserve"> </w:t>
      </w:r>
    </w:p>
    <w:p w14:paraId="3C9DF934">
      <w:pPr>
        <w:pStyle w:val="107"/>
        <w:spacing w:line="360" w:lineRule="auto"/>
        <w:ind w:left="850" w:leftChars="208" w:hanging="413" w:hangingChars="197"/>
        <w:rPr>
          <w:rFonts w:ascii="宋体" w:hAnsi="宋体"/>
          <w:color w:val="auto"/>
          <w:highlight w:val="none"/>
        </w:rPr>
      </w:pPr>
      <w:r>
        <w:rPr>
          <w:rFonts w:hint="eastAsia" w:ascii="宋体" w:hAnsi="宋体"/>
          <w:color w:val="auto"/>
          <w:highlight w:val="none"/>
        </w:rPr>
        <w:t>6.1.</w:t>
      </w:r>
      <w:r>
        <w:rPr>
          <w:rFonts w:ascii="宋体" w:hAnsi="宋体"/>
          <w:color w:val="auto"/>
          <w:highlight w:val="none"/>
        </w:rPr>
        <w:t>竞争性谈判</w:t>
      </w:r>
      <w:r>
        <w:rPr>
          <w:rFonts w:hint="eastAsia" w:ascii="宋体" w:hAnsi="宋体"/>
          <w:color w:val="auto"/>
          <w:highlight w:val="none"/>
        </w:rPr>
        <w:t>保证金金额：</w:t>
      </w:r>
      <w:r>
        <w:rPr>
          <w:rFonts w:hint="eastAsia" w:ascii="宋体" w:hAnsi="宋体"/>
          <w:color w:val="auto"/>
          <w:szCs w:val="21"/>
          <w:highlight w:val="none"/>
          <w:u w:val="single"/>
          <w:lang w:val="en-US" w:eastAsia="zh-CN"/>
        </w:rPr>
        <w:t>标包1: 1,200.00元； 标包2: 600.00元</w:t>
      </w:r>
      <w:r>
        <w:rPr>
          <w:rFonts w:ascii="宋体" w:hAnsi="宋体"/>
          <w:color w:val="auto"/>
          <w:highlight w:val="none"/>
        </w:rPr>
        <w:t>。</w:t>
      </w:r>
    </w:p>
    <w:p w14:paraId="50499CCC">
      <w:pPr>
        <w:pStyle w:val="107"/>
        <w:spacing w:line="360" w:lineRule="auto"/>
        <w:ind w:left="850" w:leftChars="208" w:hanging="413" w:hangingChars="197"/>
        <w:rPr>
          <w:rFonts w:ascii="宋体" w:hAnsi="宋体"/>
          <w:color w:val="auto"/>
          <w:highlight w:val="none"/>
        </w:rPr>
      </w:pPr>
      <w:r>
        <w:rPr>
          <w:rFonts w:hint="eastAsia" w:ascii="宋体" w:hAnsi="宋体"/>
          <w:color w:val="auto"/>
          <w:highlight w:val="none"/>
        </w:rPr>
        <w:t>6.2.竞争性谈判保证金缴纳方式：银行转账或电汇。</w:t>
      </w:r>
    </w:p>
    <w:p w14:paraId="5ABB86E6">
      <w:pPr>
        <w:spacing w:line="360" w:lineRule="auto"/>
        <w:rPr>
          <w:rFonts w:ascii="黑体" w:eastAsia="黑体"/>
          <w:b/>
          <w:color w:val="auto"/>
          <w:sz w:val="28"/>
          <w:szCs w:val="28"/>
          <w:highlight w:val="none"/>
        </w:rPr>
      </w:pPr>
      <w:r>
        <w:rPr>
          <w:rFonts w:hint="eastAsia" w:ascii="黑体" w:eastAsia="黑体"/>
          <w:b/>
          <w:color w:val="auto"/>
          <w:sz w:val="28"/>
          <w:szCs w:val="28"/>
          <w:highlight w:val="none"/>
        </w:rPr>
        <w:t>七</w:t>
      </w:r>
      <w:r>
        <w:rPr>
          <w:rFonts w:ascii="黑体" w:eastAsia="黑体"/>
          <w:b/>
          <w:color w:val="auto"/>
          <w:sz w:val="28"/>
          <w:szCs w:val="28"/>
          <w:highlight w:val="none"/>
        </w:rPr>
        <w:t xml:space="preserve">、 联系方式 </w:t>
      </w:r>
    </w:p>
    <w:p w14:paraId="4732FD19">
      <w:pPr>
        <w:tabs>
          <w:tab w:val="left" w:pos="900"/>
          <w:tab w:val="left" w:pos="1262"/>
        </w:tabs>
        <w:spacing w:line="360" w:lineRule="auto"/>
        <w:ind w:left="142" w:firstLine="424" w:firstLineChars="202"/>
        <w:rPr>
          <w:rFonts w:ascii="宋体" w:hAnsi="宋体"/>
          <w:color w:val="auto"/>
          <w:szCs w:val="21"/>
          <w:highlight w:val="none"/>
        </w:rPr>
      </w:pPr>
      <w:r>
        <w:rPr>
          <w:rFonts w:hint="eastAsia" w:ascii="宋体" w:hAnsi="宋体"/>
          <w:color w:val="auto"/>
          <w:szCs w:val="21"/>
          <w:highlight w:val="none"/>
        </w:rPr>
        <w:t>采购人</w:t>
      </w:r>
      <w:r>
        <w:rPr>
          <w:rFonts w:ascii="宋体" w:hAnsi="宋体"/>
          <w:color w:val="auto"/>
          <w:szCs w:val="21"/>
          <w:highlight w:val="none"/>
        </w:rPr>
        <w:t>名称：</w:t>
      </w:r>
      <w:r>
        <w:rPr>
          <w:rFonts w:hint="eastAsia" w:ascii="宋体" w:hAnsi="宋体"/>
          <w:color w:val="auto"/>
          <w:szCs w:val="21"/>
          <w:highlight w:val="none"/>
        </w:rPr>
        <w:t>广东新网工程技术有限公司</w:t>
      </w:r>
    </w:p>
    <w:p w14:paraId="43CDDB60">
      <w:pPr>
        <w:tabs>
          <w:tab w:val="left" w:pos="900"/>
          <w:tab w:val="left" w:pos="1262"/>
        </w:tabs>
        <w:spacing w:line="360" w:lineRule="auto"/>
        <w:ind w:left="142" w:firstLine="424" w:firstLineChars="202"/>
        <w:rPr>
          <w:rFonts w:ascii="宋体" w:hAnsi="宋体"/>
          <w:color w:val="auto"/>
          <w:szCs w:val="21"/>
          <w:highlight w:val="none"/>
        </w:rPr>
      </w:pPr>
      <w:r>
        <w:rPr>
          <w:rFonts w:ascii="宋体" w:hAnsi="宋体"/>
          <w:color w:val="auto"/>
          <w:szCs w:val="21"/>
          <w:highlight w:val="none"/>
        </w:rPr>
        <w:t>采购</w:t>
      </w:r>
      <w:r>
        <w:rPr>
          <w:rFonts w:hint="eastAsia" w:ascii="宋体" w:hAnsi="宋体"/>
          <w:color w:val="auto"/>
          <w:szCs w:val="21"/>
          <w:highlight w:val="none"/>
        </w:rPr>
        <w:t>人</w:t>
      </w:r>
      <w:r>
        <w:rPr>
          <w:rFonts w:ascii="宋体" w:hAnsi="宋体"/>
          <w:color w:val="auto"/>
          <w:szCs w:val="21"/>
          <w:highlight w:val="none"/>
        </w:rPr>
        <w:t>地址：</w:t>
      </w:r>
      <w:r>
        <w:rPr>
          <w:rFonts w:hint="eastAsia" w:ascii="宋体" w:hAnsi="宋体"/>
          <w:color w:val="auto"/>
          <w:szCs w:val="21"/>
          <w:highlight w:val="none"/>
        </w:rPr>
        <w:t>广东省东莞市南城街道中天商业街28号4栋5楼</w:t>
      </w:r>
    </w:p>
    <w:p w14:paraId="2D3BACA6">
      <w:pPr>
        <w:tabs>
          <w:tab w:val="left" w:pos="900"/>
          <w:tab w:val="left" w:pos="1262"/>
        </w:tabs>
        <w:spacing w:line="360" w:lineRule="auto"/>
        <w:ind w:left="142" w:firstLine="424" w:firstLineChars="202"/>
        <w:rPr>
          <w:rFonts w:hint="eastAsia" w:ascii="宋体" w:hAnsi="宋体" w:eastAsia="宋体"/>
          <w:color w:val="auto"/>
          <w:szCs w:val="21"/>
          <w:highlight w:val="none"/>
          <w:lang w:val="en-US" w:eastAsia="zh-CN"/>
        </w:rPr>
      </w:pPr>
      <w:r>
        <w:rPr>
          <w:rFonts w:ascii="宋体" w:hAnsi="宋体"/>
          <w:color w:val="auto"/>
          <w:szCs w:val="21"/>
          <w:highlight w:val="none"/>
        </w:rPr>
        <w:t>联系人：</w:t>
      </w:r>
      <w:r>
        <w:rPr>
          <w:rFonts w:hint="eastAsia" w:ascii="宋体" w:hAnsi="宋体"/>
          <w:color w:val="auto"/>
          <w:szCs w:val="21"/>
          <w:highlight w:val="none"/>
        </w:rPr>
        <w:t>周</w:t>
      </w:r>
      <w:r>
        <w:rPr>
          <w:rFonts w:hint="eastAsia" w:ascii="宋体" w:hAnsi="宋体"/>
          <w:color w:val="auto"/>
          <w:szCs w:val="21"/>
          <w:highlight w:val="none"/>
          <w:lang w:val="en-US" w:eastAsia="zh-CN"/>
        </w:rPr>
        <w:t>先生</w:t>
      </w:r>
    </w:p>
    <w:p w14:paraId="2EB8130C">
      <w:pPr>
        <w:tabs>
          <w:tab w:val="left" w:pos="900"/>
          <w:tab w:val="left" w:pos="1262"/>
        </w:tabs>
        <w:spacing w:line="360" w:lineRule="auto"/>
        <w:ind w:left="142" w:firstLine="424" w:firstLineChars="202"/>
        <w:rPr>
          <w:rFonts w:ascii="宋体" w:hAnsi="宋体"/>
          <w:color w:val="auto"/>
          <w:szCs w:val="21"/>
          <w:highlight w:val="none"/>
        </w:rPr>
      </w:pPr>
      <w:r>
        <w:rPr>
          <w:rFonts w:ascii="宋体" w:hAnsi="宋体"/>
          <w:color w:val="auto"/>
          <w:szCs w:val="21"/>
          <w:highlight w:val="none"/>
        </w:rPr>
        <w:t>联系电话：</w:t>
      </w:r>
      <w:r>
        <w:rPr>
          <w:rFonts w:hint="eastAsia" w:ascii="宋体" w:hAnsi="宋体"/>
          <w:color w:val="auto"/>
          <w:szCs w:val="21"/>
          <w:highlight w:val="none"/>
        </w:rPr>
        <w:t>13416813494</w:t>
      </w:r>
    </w:p>
    <w:p w14:paraId="0525E8FE">
      <w:pPr>
        <w:tabs>
          <w:tab w:val="left" w:pos="900"/>
          <w:tab w:val="left" w:pos="1262"/>
        </w:tabs>
        <w:spacing w:line="360" w:lineRule="auto"/>
        <w:ind w:left="142" w:firstLine="424" w:firstLineChars="202"/>
        <w:rPr>
          <w:rFonts w:ascii="宋体" w:hAnsi="宋体"/>
          <w:color w:val="auto"/>
          <w:szCs w:val="21"/>
          <w:highlight w:val="none"/>
        </w:rPr>
      </w:pPr>
    </w:p>
    <w:p w14:paraId="5FFA9612">
      <w:pPr>
        <w:tabs>
          <w:tab w:val="left" w:pos="900"/>
          <w:tab w:val="left" w:pos="1262"/>
        </w:tabs>
        <w:spacing w:line="360" w:lineRule="auto"/>
        <w:ind w:left="142" w:firstLine="424" w:firstLineChars="202"/>
        <w:rPr>
          <w:rFonts w:ascii="宋体" w:hAnsi="宋体"/>
          <w:color w:val="auto"/>
          <w:szCs w:val="21"/>
          <w:highlight w:val="none"/>
        </w:rPr>
      </w:pPr>
      <w:r>
        <w:rPr>
          <w:rFonts w:hint="eastAsia" w:ascii="宋体" w:hAnsi="宋体"/>
          <w:color w:val="auto"/>
          <w:szCs w:val="21"/>
          <w:highlight w:val="none"/>
        </w:rPr>
        <w:t>采购人</w:t>
      </w:r>
      <w:r>
        <w:rPr>
          <w:rFonts w:ascii="宋体" w:hAnsi="宋体"/>
          <w:color w:val="auto"/>
          <w:szCs w:val="21"/>
          <w:highlight w:val="none"/>
        </w:rPr>
        <w:t>采购代理机构名称：</w:t>
      </w:r>
      <w:r>
        <w:rPr>
          <w:rFonts w:hint="eastAsia" w:ascii="宋体" w:hAnsi="宋体"/>
          <w:color w:val="auto"/>
          <w:szCs w:val="21"/>
          <w:highlight w:val="none"/>
          <w:lang w:eastAsia="zh-CN"/>
        </w:rPr>
        <w:t>广东政通招标有限公司</w:t>
      </w:r>
    </w:p>
    <w:p w14:paraId="5A40BB1A">
      <w:pPr>
        <w:tabs>
          <w:tab w:val="left" w:pos="900"/>
          <w:tab w:val="left" w:pos="1262"/>
        </w:tabs>
        <w:spacing w:line="360" w:lineRule="auto"/>
        <w:ind w:left="142" w:firstLine="424" w:firstLineChars="202"/>
        <w:rPr>
          <w:rFonts w:ascii="宋体" w:hAnsi="宋体"/>
          <w:color w:val="auto"/>
          <w:szCs w:val="21"/>
          <w:highlight w:val="none"/>
        </w:rPr>
      </w:pPr>
      <w:r>
        <w:rPr>
          <w:rFonts w:ascii="宋体" w:hAnsi="宋体"/>
          <w:color w:val="auto"/>
          <w:szCs w:val="21"/>
          <w:highlight w:val="none"/>
        </w:rPr>
        <w:t>采购代理机构地址：</w:t>
      </w:r>
      <w:r>
        <w:rPr>
          <w:rFonts w:hint="eastAsia" w:ascii="宋体" w:hAnsi="宋体"/>
          <w:color w:val="auto"/>
          <w:szCs w:val="21"/>
          <w:highlight w:val="none"/>
          <w:lang w:eastAsia="zh-CN"/>
        </w:rPr>
        <w:t>东莞市南城街道鸿福路199号（市民服务中心）411室</w:t>
      </w:r>
      <w:r>
        <w:rPr>
          <w:rFonts w:ascii="宋体" w:hAnsi="宋体"/>
          <w:color w:val="auto"/>
          <w:szCs w:val="21"/>
          <w:highlight w:val="none"/>
        </w:rPr>
        <w:t xml:space="preserve">  </w:t>
      </w:r>
    </w:p>
    <w:p w14:paraId="1B4D1DDB">
      <w:pPr>
        <w:tabs>
          <w:tab w:val="left" w:pos="900"/>
          <w:tab w:val="left" w:pos="1262"/>
        </w:tabs>
        <w:spacing w:line="360" w:lineRule="auto"/>
        <w:ind w:left="142" w:firstLine="424" w:firstLineChars="202"/>
        <w:rPr>
          <w:rFonts w:hint="eastAsia" w:ascii="宋体" w:hAnsi="宋体" w:eastAsia="宋体"/>
          <w:color w:val="auto"/>
          <w:szCs w:val="21"/>
          <w:highlight w:val="none"/>
          <w:lang w:eastAsia="zh-CN"/>
        </w:rPr>
      </w:pPr>
      <w:r>
        <w:rPr>
          <w:rFonts w:ascii="宋体" w:hAnsi="宋体"/>
          <w:color w:val="auto"/>
          <w:szCs w:val="21"/>
          <w:highlight w:val="none"/>
        </w:rPr>
        <w:t>联系人：</w:t>
      </w:r>
      <w:r>
        <w:rPr>
          <w:rFonts w:hint="eastAsia" w:ascii="宋体" w:hAnsi="宋体"/>
          <w:color w:val="auto"/>
          <w:szCs w:val="21"/>
          <w:highlight w:val="none"/>
          <w:lang w:eastAsia="zh-CN"/>
        </w:rPr>
        <w:t>杨先生</w:t>
      </w:r>
    </w:p>
    <w:p w14:paraId="1BB0325F">
      <w:pPr>
        <w:tabs>
          <w:tab w:val="left" w:pos="900"/>
          <w:tab w:val="left" w:pos="1262"/>
        </w:tabs>
        <w:spacing w:line="360" w:lineRule="auto"/>
        <w:ind w:left="142" w:firstLine="424" w:firstLineChars="202"/>
        <w:rPr>
          <w:rFonts w:ascii="宋体" w:hAnsi="宋体"/>
          <w:color w:val="auto"/>
          <w:szCs w:val="21"/>
          <w:highlight w:val="none"/>
        </w:rPr>
      </w:pPr>
      <w:r>
        <w:rPr>
          <w:rFonts w:ascii="宋体" w:hAnsi="宋体"/>
          <w:color w:val="auto"/>
          <w:szCs w:val="21"/>
          <w:highlight w:val="none"/>
        </w:rPr>
        <w:t>联系电话：</w:t>
      </w:r>
      <w:r>
        <w:rPr>
          <w:rFonts w:hint="eastAsia" w:ascii="宋体" w:hAnsi="宋体"/>
          <w:color w:val="auto"/>
          <w:szCs w:val="21"/>
          <w:highlight w:val="none"/>
          <w:lang w:eastAsia="zh-CN"/>
        </w:rPr>
        <w:t>0769-22881803</w:t>
      </w:r>
      <w:r>
        <w:rPr>
          <w:rFonts w:ascii="宋体" w:hAnsi="宋体"/>
          <w:color w:val="auto"/>
          <w:szCs w:val="21"/>
          <w:highlight w:val="none"/>
        </w:rPr>
        <w:t xml:space="preserve">  </w:t>
      </w:r>
    </w:p>
    <w:p w14:paraId="44AA10F2">
      <w:pPr>
        <w:tabs>
          <w:tab w:val="left" w:pos="900"/>
          <w:tab w:val="left" w:pos="1262"/>
        </w:tabs>
        <w:spacing w:line="360" w:lineRule="auto"/>
        <w:ind w:left="142" w:firstLine="424" w:firstLineChars="202"/>
        <w:rPr>
          <w:rFonts w:ascii="宋体" w:hAnsi="宋体"/>
          <w:color w:val="auto"/>
          <w:szCs w:val="21"/>
          <w:highlight w:val="none"/>
        </w:rPr>
      </w:pPr>
      <w:r>
        <w:rPr>
          <w:rFonts w:ascii="宋体" w:hAnsi="宋体"/>
          <w:color w:val="auto"/>
          <w:szCs w:val="21"/>
          <w:highlight w:val="none"/>
        </w:rPr>
        <w:t>电子邮件：</w:t>
      </w:r>
      <w:r>
        <w:rPr>
          <w:rFonts w:hint="eastAsia" w:ascii="宋体" w:hAnsi="宋体"/>
          <w:color w:val="auto"/>
          <w:szCs w:val="21"/>
          <w:highlight w:val="none"/>
          <w:lang w:eastAsia="zh-CN"/>
        </w:rPr>
        <w:t>471539976@qq.com</w:t>
      </w:r>
      <w:r>
        <w:rPr>
          <w:rFonts w:ascii="宋体" w:hAnsi="宋体"/>
          <w:color w:val="auto"/>
          <w:szCs w:val="21"/>
          <w:highlight w:val="none"/>
        </w:rPr>
        <w:t xml:space="preserve">  </w:t>
      </w:r>
    </w:p>
    <w:p w14:paraId="40500822">
      <w:pPr>
        <w:tabs>
          <w:tab w:val="left" w:pos="900"/>
          <w:tab w:val="left" w:pos="1262"/>
        </w:tabs>
        <w:spacing w:line="360" w:lineRule="auto"/>
        <w:jc w:val="right"/>
        <w:rPr>
          <w:rFonts w:hint="eastAsia" w:ascii="宋体" w:hAnsi="宋体"/>
          <w:color w:val="auto"/>
          <w:szCs w:val="21"/>
          <w:highlight w:val="none"/>
        </w:rPr>
      </w:pPr>
      <w:r>
        <w:rPr>
          <w:rFonts w:hint="eastAsia" w:ascii="宋体" w:hAnsi="宋体"/>
          <w:color w:val="auto"/>
          <w:szCs w:val="21"/>
          <w:highlight w:val="none"/>
        </w:rPr>
        <w:t>采购人</w:t>
      </w:r>
      <w:r>
        <w:rPr>
          <w:rFonts w:ascii="宋体" w:hAnsi="宋体"/>
          <w:color w:val="auto"/>
          <w:szCs w:val="21"/>
          <w:highlight w:val="none"/>
        </w:rPr>
        <w:t>：</w:t>
      </w:r>
      <w:r>
        <w:rPr>
          <w:rFonts w:hint="eastAsia" w:ascii="宋体" w:hAnsi="宋体"/>
          <w:color w:val="auto"/>
          <w:szCs w:val="21"/>
          <w:highlight w:val="none"/>
        </w:rPr>
        <w:t>广东新网工程技术有限公司</w:t>
      </w:r>
    </w:p>
    <w:p w14:paraId="734977DE">
      <w:pPr>
        <w:tabs>
          <w:tab w:val="left" w:pos="900"/>
          <w:tab w:val="left" w:pos="1262"/>
        </w:tabs>
        <w:spacing w:line="360" w:lineRule="auto"/>
        <w:jc w:val="right"/>
        <w:rPr>
          <w:rFonts w:hint="eastAsia" w:ascii="宋体" w:hAnsi="宋体" w:eastAsia="宋体"/>
          <w:color w:val="auto"/>
          <w:szCs w:val="21"/>
          <w:highlight w:val="none"/>
          <w:lang w:eastAsia="zh-CN"/>
        </w:rPr>
      </w:pPr>
      <w:r>
        <w:rPr>
          <w:rFonts w:ascii="宋体" w:hAnsi="宋体"/>
          <w:color w:val="auto"/>
          <w:szCs w:val="21"/>
          <w:highlight w:val="none"/>
        </w:rPr>
        <w:t>采购代理机构：</w:t>
      </w:r>
      <w:r>
        <w:rPr>
          <w:rFonts w:hint="eastAsia" w:ascii="宋体" w:hAnsi="宋体"/>
          <w:color w:val="auto"/>
          <w:szCs w:val="21"/>
          <w:highlight w:val="none"/>
          <w:lang w:eastAsia="zh-CN"/>
        </w:rPr>
        <w:t>广东政通招标有限公司</w:t>
      </w:r>
    </w:p>
    <w:p w14:paraId="24AB9513">
      <w:pPr>
        <w:tabs>
          <w:tab w:val="left" w:pos="900"/>
          <w:tab w:val="left" w:pos="1262"/>
        </w:tabs>
        <w:wordWrap w:val="0"/>
        <w:spacing w:line="360" w:lineRule="auto"/>
        <w:ind w:left="142" w:firstLine="424" w:firstLineChars="202"/>
        <w:jc w:val="right"/>
        <w:rPr>
          <w:rFonts w:ascii="黑体" w:eastAsia="黑体"/>
          <w:b/>
          <w:color w:val="auto"/>
          <w:sz w:val="28"/>
          <w:szCs w:val="28"/>
          <w:highlight w:val="none"/>
        </w:rPr>
      </w:pPr>
      <w:r>
        <w:rPr>
          <w:rFonts w:hint="eastAsia" w:ascii="宋体" w:hAnsi="宋体"/>
          <w:color w:val="auto"/>
          <w:szCs w:val="21"/>
          <w:highlight w:val="none"/>
        </w:rPr>
        <w:t xml:space="preserve">                                 </w:t>
      </w:r>
      <w:r>
        <w:rPr>
          <w:rFonts w:ascii="宋体" w:hAnsi="宋体"/>
          <w:color w:val="auto"/>
          <w:szCs w:val="21"/>
          <w:highlight w:val="none"/>
          <w:u w:val="none"/>
        </w:rPr>
        <w:t>日期：</w:t>
      </w:r>
      <w:r>
        <w:rPr>
          <w:rFonts w:hint="eastAsia" w:ascii="宋体" w:hAnsi="宋体"/>
          <w:color w:val="auto"/>
          <w:szCs w:val="21"/>
          <w:highlight w:val="none"/>
          <w:u w:val="none"/>
          <w:lang w:val="en-US" w:eastAsia="zh-CN"/>
        </w:rPr>
        <w:t>2026</w:t>
      </w:r>
      <w:r>
        <w:rPr>
          <w:rFonts w:ascii="宋体" w:hAnsi="宋体"/>
          <w:color w:val="auto"/>
          <w:szCs w:val="21"/>
          <w:highlight w:val="none"/>
          <w:u w:val="none"/>
        </w:rPr>
        <w:t>年</w:t>
      </w:r>
      <w:r>
        <w:rPr>
          <w:rFonts w:hint="eastAsia" w:ascii="宋体" w:hAnsi="宋体"/>
          <w:color w:val="auto"/>
          <w:szCs w:val="21"/>
          <w:highlight w:val="none"/>
          <w:u w:val="none"/>
          <w:lang w:val="en-US" w:eastAsia="zh-CN"/>
        </w:rPr>
        <w:t>6</w:t>
      </w:r>
      <w:r>
        <w:rPr>
          <w:rFonts w:ascii="宋体" w:hAnsi="宋体"/>
          <w:color w:val="auto"/>
          <w:szCs w:val="21"/>
          <w:highlight w:val="none"/>
          <w:u w:val="none"/>
        </w:rPr>
        <w:t>月</w:t>
      </w:r>
      <w:r>
        <w:rPr>
          <w:rFonts w:hint="eastAsia" w:ascii="宋体" w:hAnsi="宋体"/>
          <w:color w:val="auto"/>
          <w:szCs w:val="21"/>
          <w:highlight w:val="none"/>
          <w:u w:val="none"/>
          <w:lang w:val="en-US" w:eastAsia="zh-CN"/>
        </w:rPr>
        <w:t>4</w:t>
      </w:r>
      <w:r>
        <w:rPr>
          <w:rFonts w:ascii="宋体" w:hAnsi="宋体"/>
          <w:color w:val="auto"/>
          <w:szCs w:val="21"/>
          <w:highlight w:val="none"/>
          <w:u w:val="none"/>
        </w:rPr>
        <w:t>日</w:t>
      </w:r>
    </w:p>
    <w:bookmarkEnd w:id="0"/>
    <w:bookmarkEnd w:id="1"/>
    <w:p w14:paraId="76E3F9C0">
      <w:pPr>
        <w:rPr>
          <w:rFonts w:hint="eastAsia" w:ascii="宋体" w:hAnsi="宋体" w:eastAsia="宋体" w:cs="宋体"/>
          <w:b/>
          <w:color w:val="auto"/>
          <w:kern w:val="0"/>
          <w:sz w:val="28"/>
          <w:szCs w:val="28"/>
          <w:highlight w:val="none"/>
        </w:rPr>
      </w:pPr>
      <w:bookmarkStart w:id="4" w:name="_Toc29650"/>
      <w:bookmarkStart w:id="5" w:name="_Toc456551874"/>
      <w:r>
        <w:rPr>
          <w:rFonts w:hint="eastAsia" w:ascii="宋体" w:hAnsi="宋体" w:eastAsia="宋体" w:cs="宋体"/>
          <w:b/>
          <w:color w:val="auto"/>
          <w:kern w:val="0"/>
          <w:sz w:val="28"/>
          <w:szCs w:val="28"/>
          <w:highlight w:val="none"/>
        </w:rPr>
        <w:br w:type="page"/>
      </w:r>
    </w:p>
    <w:p w14:paraId="275BF33F">
      <w:pPr>
        <w:pStyle w:val="71"/>
        <w:rPr>
          <w:rFonts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第二章 竞争性谈判响应须知</w:t>
      </w:r>
      <w:bookmarkEnd w:id="4"/>
      <w:bookmarkEnd w:id="5"/>
    </w:p>
    <w:p w14:paraId="019D4D7A">
      <w:pPr>
        <w:pStyle w:val="5"/>
        <w:spacing w:line="240" w:lineRule="auto"/>
        <w:jc w:val="left"/>
        <w:rPr>
          <w:color w:val="auto"/>
          <w:sz w:val="28"/>
          <w:szCs w:val="28"/>
          <w:highlight w:val="none"/>
        </w:rPr>
      </w:pPr>
      <w:bookmarkStart w:id="6" w:name="_Toc456551875"/>
      <w:bookmarkStart w:id="7" w:name="_Toc5931"/>
      <w:r>
        <w:rPr>
          <w:rFonts w:hint="eastAsia"/>
          <w:color w:val="auto"/>
          <w:sz w:val="28"/>
          <w:szCs w:val="28"/>
          <w:highlight w:val="none"/>
        </w:rPr>
        <w:t>竞争性谈判响应须知前附表</w:t>
      </w:r>
      <w:bookmarkEnd w:id="6"/>
      <w:bookmarkEnd w:id="7"/>
    </w:p>
    <w:p w14:paraId="3D0EF7E5">
      <w:pPr>
        <w:spacing w:line="440" w:lineRule="exact"/>
        <w:ind w:right="-340" w:rightChars="-162"/>
        <w:jc w:val="left"/>
        <w:rPr>
          <w:color w:val="auto"/>
          <w:szCs w:val="21"/>
          <w:highlight w:val="none"/>
        </w:rPr>
      </w:pPr>
      <w:r>
        <w:rPr>
          <w:rFonts w:hint="eastAsia"/>
          <w:color w:val="auto"/>
          <w:szCs w:val="21"/>
          <w:highlight w:val="none"/>
        </w:rPr>
        <w:t>本竞争性谈判响应须知前附表是对竞争性谈判响应须知正文的具体补充和修改，如有矛盾，以本前附表为准。</w:t>
      </w:r>
    </w:p>
    <w:tbl>
      <w:tblPr>
        <w:tblStyle w:val="38"/>
        <w:tblW w:w="8931" w:type="dxa"/>
        <w:tblInd w:w="-176" w:type="dxa"/>
        <w:tblLayout w:type="fixed"/>
        <w:tblCellMar>
          <w:top w:w="0" w:type="dxa"/>
          <w:left w:w="108" w:type="dxa"/>
          <w:bottom w:w="0" w:type="dxa"/>
          <w:right w:w="108" w:type="dxa"/>
        </w:tblCellMar>
      </w:tblPr>
      <w:tblGrid>
        <w:gridCol w:w="993"/>
        <w:gridCol w:w="1843"/>
        <w:gridCol w:w="6095"/>
      </w:tblGrid>
      <w:tr w14:paraId="03A8D2D7">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14:paraId="0927D339">
            <w:pPr>
              <w:jc w:val="center"/>
              <w:rPr>
                <w:b/>
                <w:color w:val="auto"/>
                <w:szCs w:val="21"/>
                <w:highlight w:val="none"/>
              </w:rPr>
            </w:pPr>
            <w:r>
              <w:rPr>
                <w:b/>
                <w:color w:val="auto"/>
                <w:szCs w:val="21"/>
                <w:highlight w:val="none"/>
              </w:rPr>
              <w:t>条款号</w:t>
            </w:r>
          </w:p>
        </w:tc>
        <w:tc>
          <w:tcPr>
            <w:tcW w:w="1843" w:type="dxa"/>
            <w:tcBorders>
              <w:top w:val="single" w:color="auto" w:sz="4" w:space="0"/>
              <w:left w:val="single" w:color="auto" w:sz="4" w:space="0"/>
              <w:bottom w:val="single" w:color="auto" w:sz="4" w:space="0"/>
              <w:right w:val="single" w:color="auto" w:sz="4" w:space="0"/>
            </w:tcBorders>
            <w:vAlign w:val="center"/>
          </w:tcPr>
          <w:p w14:paraId="032BBB80">
            <w:pPr>
              <w:jc w:val="center"/>
              <w:rPr>
                <w:b/>
                <w:color w:val="auto"/>
                <w:szCs w:val="21"/>
                <w:highlight w:val="none"/>
              </w:rPr>
            </w:pPr>
            <w:r>
              <w:rPr>
                <w:b/>
                <w:color w:val="auto"/>
                <w:szCs w:val="21"/>
                <w:highlight w:val="none"/>
              </w:rPr>
              <w:t>条  款  名  称</w:t>
            </w:r>
          </w:p>
        </w:tc>
        <w:tc>
          <w:tcPr>
            <w:tcW w:w="6095" w:type="dxa"/>
            <w:tcBorders>
              <w:top w:val="single" w:color="auto" w:sz="4" w:space="0"/>
              <w:left w:val="single" w:color="auto" w:sz="4" w:space="0"/>
              <w:bottom w:val="single" w:color="auto" w:sz="4" w:space="0"/>
              <w:right w:val="single" w:color="auto" w:sz="4" w:space="0"/>
            </w:tcBorders>
            <w:vAlign w:val="center"/>
          </w:tcPr>
          <w:p w14:paraId="2BB35947">
            <w:pPr>
              <w:jc w:val="center"/>
              <w:rPr>
                <w:b/>
                <w:color w:val="auto"/>
                <w:szCs w:val="21"/>
                <w:highlight w:val="none"/>
              </w:rPr>
            </w:pPr>
            <w:r>
              <w:rPr>
                <w:b/>
                <w:color w:val="auto"/>
                <w:szCs w:val="21"/>
                <w:highlight w:val="none"/>
              </w:rPr>
              <w:t>编  列  内  容</w:t>
            </w:r>
          </w:p>
        </w:tc>
      </w:tr>
      <w:tr w14:paraId="35B5CE22">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14:paraId="0736B9D7">
            <w:pPr>
              <w:jc w:val="center"/>
              <w:rPr>
                <w:color w:val="auto"/>
                <w:szCs w:val="21"/>
                <w:highlight w:val="none"/>
              </w:rPr>
            </w:pPr>
            <w:r>
              <w:rPr>
                <w:rFonts w:hint="eastAsia"/>
                <w:color w:val="auto"/>
                <w:szCs w:val="21"/>
                <w:highlight w:val="none"/>
              </w:rPr>
              <w:t>1.1.5</w:t>
            </w:r>
          </w:p>
        </w:tc>
        <w:tc>
          <w:tcPr>
            <w:tcW w:w="1843" w:type="dxa"/>
            <w:tcBorders>
              <w:top w:val="single" w:color="auto" w:sz="4" w:space="0"/>
              <w:left w:val="single" w:color="auto" w:sz="4" w:space="0"/>
              <w:bottom w:val="single" w:color="auto" w:sz="4" w:space="0"/>
              <w:right w:val="single" w:color="auto" w:sz="4" w:space="0"/>
            </w:tcBorders>
            <w:vAlign w:val="center"/>
          </w:tcPr>
          <w:p w14:paraId="5CF66432">
            <w:pPr>
              <w:jc w:val="left"/>
              <w:rPr>
                <w:color w:val="auto"/>
                <w:szCs w:val="21"/>
                <w:highlight w:val="none"/>
              </w:rPr>
            </w:pPr>
            <w:r>
              <w:rPr>
                <w:rFonts w:hint="eastAsia"/>
                <w:color w:val="auto"/>
                <w:highlight w:val="none"/>
              </w:rPr>
              <w:t>项目承包方式</w:t>
            </w:r>
          </w:p>
        </w:tc>
        <w:tc>
          <w:tcPr>
            <w:tcW w:w="6095" w:type="dxa"/>
            <w:tcBorders>
              <w:top w:val="single" w:color="auto" w:sz="4" w:space="0"/>
              <w:left w:val="single" w:color="auto" w:sz="4" w:space="0"/>
              <w:bottom w:val="single" w:color="auto" w:sz="4" w:space="0"/>
              <w:right w:val="single" w:color="auto" w:sz="4" w:space="0"/>
            </w:tcBorders>
            <w:vAlign w:val="center"/>
          </w:tcPr>
          <w:p w14:paraId="77C7907E">
            <w:pPr>
              <w:autoSpaceDE w:val="0"/>
              <w:autoSpaceDN w:val="0"/>
              <w:rPr>
                <w:rFonts w:ascii="宋体" w:hAnsi="宋体"/>
                <w:color w:val="auto"/>
                <w:szCs w:val="21"/>
                <w:highlight w:val="none"/>
              </w:rPr>
            </w:pPr>
            <w:r>
              <w:rPr>
                <w:rFonts w:hint="eastAsia" w:ascii="宋体" w:hAnsi="宋体"/>
                <w:color w:val="auto"/>
                <w:szCs w:val="21"/>
                <w:highlight w:val="none"/>
              </w:rPr>
              <w:sym w:font="Wingdings" w:char="00FE"/>
            </w:r>
            <w:r>
              <w:rPr>
                <w:rFonts w:hint="eastAsia" w:ascii="宋体" w:hAnsi="宋体"/>
                <w:color w:val="auto"/>
                <w:szCs w:val="21"/>
                <w:highlight w:val="none"/>
              </w:rPr>
              <w:t>固定总价包干</w:t>
            </w:r>
          </w:p>
          <w:p w14:paraId="511B2AF3">
            <w:pPr>
              <w:autoSpaceDE w:val="0"/>
              <w:autoSpaceDN w:val="0"/>
              <w:rPr>
                <w:rFonts w:ascii="宋体" w:hAnsi="宋体"/>
                <w:color w:val="auto"/>
                <w:szCs w:val="21"/>
                <w:highlight w:val="none"/>
              </w:rPr>
            </w:pPr>
            <w:r>
              <w:rPr>
                <w:rFonts w:hint="eastAsia" w:ascii="宋体" w:hAnsi="宋体"/>
                <w:color w:val="auto"/>
                <w:szCs w:val="21"/>
                <w:highlight w:val="none"/>
              </w:rPr>
              <w:t>□固定单价暂定总价包干</w:t>
            </w:r>
          </w:p>
          <w:p w14:paraId="245B0E19">
            <w:pPr>
              <w:autoSpaceDE w:val="0"/>
              <w:autoSpaceDN w:val="0"/>
              <w:rPr>
                <w:rFonts w:ascii="宋体" w:hAnsi="宋体"/>
                <w:color w:val="auto"/>
                <w:szCs w:val="21"/>
                <w:highlight w:val="none"/>
              </w:rPr>
            </w:pPr>
            <w:r>
              <w:rPr>
                <w:rFonts w:hint="eastAsia" w:ascii="宋体" w:hAnsi="宋体"/>
                <w:color w:val="auto"/>
                <w:szCs w:val="21"/>
                <w:highlight w:val="none"/>
              </w:rPr>
              <w:t>□其他，</w:t>
            </w:r>
            <w:r>
              <w:rPr>
                <w:rFonts w:hint="eastAsia" w:ascii="宋体" w:hAnsi="宋体"/>
                <w:color w:val="auto"/>
                <w:szCs w:val="21"/>
                <w:highlight w:val="none"/>
                <w:u w:val="single"/>
              </w:rPr>
              <w:t xml:space="preserve">             </w:t>
            </w:r>
          </w:p>
        </w:tc>
      </w:tr>
      <w:tr w14:paraId="1F5827E2">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14:paraId="3599420C">
            <w:pPr>
              <w:jc w:val="center"/>
              <w:rPr>
                <w:color w:val="auto"/>
                <w:szCs w:val="21"/>
                <w:highlight w:val="none"/>
              </w:rPr>
            </w:pPr>
            <w:r>
              <w:rPr>
                <w:color w:val="auto"/>
                <w:szCs w:val="21"/>
                <w:highlight w:val="none"/>
              </w:rPr>
              <w:t>1.2</w:t>
            </w:r>
          </w:p>
        </w:tc>
        <w:tc>
          <w:tcPr>
            <w:tcW w:w="1843" w:type="dxa"/>
            <w:tcBorders>
              <w:top w:val="single" w:color="auto" w:sz="4" w:space="0"/>
              <w:left w:val="single" w:color="auto" w:sz="4" w:space="0"/>
              <w:bottom w:val="single" w:color="auto" w:sz="4" w:space="0"/>
              <w:right w:val="single" w:color="auto" w:sz="4" w:space="0"/>
            </w:tcBorders>
            <w:vAlign w:val="center"/>
          </w:tcPr>
          <w:p w14:paraId="57E20A86">
            <w:pPr>
              <w:jc w:val="left"/>
              <w:rPr>
                <w:color w:val="auto"/>
                <w:szCs w:val="21"/>
                <w:highlight w:val="none"/>
              </w:rPr>
            </w:pPr>
            <w:r>
              <w:rPr>
                <w:color w:val="auto"/>
                <w:szCs w:val="21"/>
                <w:highlight w:val="none"/>
              </w:rPr>
              <w:t>资金来源</w:t>
            </w:r>
          </w:p>
        </w:tc>
        <w:tc>
          <w:tcPr>
            <w:tcW w:w="6095" w:type="dxa"/>
            <w:tcBorders>
              <w:top w:val="single" w:color="auto" w:sz="4" w:space="0"/>
              <w:left w:val="single" w:color="auto" w:sz="4" w:space="0"/>
              <w:bottom w:val="single" w:color="auto" w:sz="4" w:space="0"/>
              <w:right w:val="single" w:color="auto" w:sz="4" w:space="0"/>
            </w:tcBorders>
            <w:vAlign w:val="center"/>
          </w:tcPr>
          <w:p w14:paraId="2228C8CA">
            <w:pPr>
              <w:autoSpaceDE w:val="0"/>
              <w:autoSpaceDN w:val="0"/>
              <w:rPr>
                <w:rFonts w:ascii="宋体" w:hAnsi="宋体" w:cs="宋体"/>
                <w:color w:val="auto"/>
                <w:szCs w:val="21"/>
                <w:highlight w:val="none"/>
              </w:rPr>
            </w:pPr>
            <w:r>
              <w:rPr>
                <w:rFonts w:hint="eastAsia" w:ascii="宋体" w:hAnsi="宋体" w:cs="宋体"/>
                <w:color w:val="auto"/>
                <w:szCs w:val="21"/>
                <w:highlight w:val="none"/>
              </w:rPr>
              <w:t>企业自筹</w:t>
            </w:r>
          </w:p>
        </w:tc>
      </w:tr>
      <w:tr w14:paraId="5919B1F7">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14:paraId="54537BA3">
            <w:pPr>
              <w:jc w:val="center"/>
              <w:rPr>
                <w:color w:val="auto"/>
                <w:szCs w:val="21"/>
                <w:highlight w:val="none"/>
              </w:rPr>
            </w:pPr>
            <w:r>
              <w:rPr>
                <w:rFonts w:hint="eastAsia"/>
                <w:color w:val="auto"/>
                <w:szCs w:val="21"/>
                <w:highlight w:val="none"/>
              </w:rPr>
              <w:t>1.3.5</w:t>
            </w:r>
          </w:p>
        </w:tc>
        <w:tc>
          <w:tcPr>
            <w:tcW w:w="1843" w:type="dxa"/>
            <w:tcBorders>
              <w:top w:val="single" w:color="auto" w:sz="4" w:space="0"/>
              <w:left w:val="single" w:color="auto" w:sz="4" w:space="0"/>
              <w:bottom w:val="single" w:color="auto" w:sz="4" w:space="0"/>
              <w:right w:val="single" w:color="auto" w:sz="4" w:space="0"/>
            </w:tcBorders>
            <w:vAlign w:val="center"/>
          </w:tcPr>
          <w:p w14:paraId="72BCB530">
            <w:pPr>
              <w:jc w:val="left"/>
              <w:rPr>
                <w:color w:val="auto"/>
                <w:szCs w:val="21"/>
                <w:highlight w:val="none"/>
              </w:rPr>
            </w:pPr>
            <w:r>
              <w:rPr>
                <w:rFonts w:hint="eastAsia"/>
                <w:color w:val="auto"/>
                <w:szCs w:val="21"/>
                <w:highlight w:val="none"/>
              </w:rPr>
              <w:t>质量要求</w:t>
            </w:r>
          </w:p>
        </w:tc>
        <w:tc>
          <w:tcPr>
            <w:tcW w:w="6095" w:type="dxa"/>
            <w:tcBorders>
              <w:top w:val="single" w:color="auto" w:sz="4" w:space="0"/>
              <w:left w:val="single" w:color="auto" w:sz="4" w:space="0"/>
              <w:bottom w:val="single" w:color="auto" w:sz="4" w:space="0"/>
              <w:right w:val="single" w:color="auto" w:sz="4" w:space="0"/>
            </w:tcBorders>
            <w:vAlign w:val="center"/>
          </w:tcPr>
          <w:p w14:paraId="3F81048A">
            <w:pPr>
              <w:autoSpaceDE w:val="0"/>
              <w:autoSpaceDN w:val="0"/>
              <w:rPr>
                <w:rFonts w:ascii="宋体" w:hAnsi="宋体" w:cs="宋体"/>
                <w:color w:val="auto"/>
                <w:szCs w:val="21"/>
                <w:highlight w:val="none"/>
              </w:rPr>
            </w:pPr>
            <w:r>
              <w:rPr>
                <w:rFonts w:hint="eastAsia" w:ascii="宋体" w:hAnsi="宋体" w:cs="宋体"/>
                <w:color w:val="auto"/>
                <w:szCs w:val="21"/>
                <w:highlight w:val="none"/>
              </w:rPr>
              <w:t>达到国家或行业质量检验评定的合格标准</w:t>
            </w:r>
          </w:p>
        </w:tc>
      </w:tr>
      <w:tr w14:paraId="6E7453AB">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14:paraId="224AE9E6">
            <w:pPr>
              <w:jc w:val="center"/>
              <w:rPr>
                <w:color w:val="auto"/>
                <w:szCs w:val="21"/>
                <w:highlight w:val="none"/>
              </w:rPr>
            </w:pPr>
            <w:r>
              <w:rPr>
                <w:rFonts w:hint="eastAsia"/>
                <w:color w:val="auto"/>
                <w:szCs w:val="21"/>
                <w:highlight w:val="none"/>
              </w:rPr>
              <w:t>1.6.3</w:t>
            </w:r>
          </w:p>
        </w:tc>
        <w:tc>
          <w:tcPr>
            <w:tcW w:w="1843" w:type="dxa"/>
            <w:tcBorders>
              <w:top w:val="single" w:color="auto" w:sz="4" w:space="0"/>
              <w:left w:val="single" w:color="auto" w:sz="4" w:space="0"/>
              <w:bottom w:val="single" w:color="auto" w:sz="4" w:space="0"/>
              <w:right w:val="single" w:color="auto" w:sz="4" w:space="0"/>
            </w:tcBorders>
            <w:vAlign w:val="center"/>
          </w:tcPr>
          <w:p w14:paraId="790C9B01">
            <w:pPr>
              <w:jc w:val="left"/>
              <w:rPr>
                <w:color w:val="auto"/>
                <w:szCs w:val="21"/>
                <w:highlight w:val="none"/>
              </w:rPr>
            </w:pPr>
            <w:r>
              <w:rPr>
                <w:rFonts w:hint="eastAsia"/>
                <w:color w:val="auto"/>
                <w:szCs w:val="21"/>
                <w:highlight w:val="none"/>
              </w:rPr>
              <w:t>联合体响应</w:t>
            </w:r>
          </w:p>
        </w:tc>
        <w:tc>
          <w:tcPr>
            <w:tcW w:w="6095" w:type="dxa"/>
            <w:tcBorders>
              <w:top w:val="single" w:color="auto" w:sz="4" w:space="0"/>
              <w:left w:val="single" w:color="auto" w:sz="4" w:space="0"/>
              <w:bottom w:val="single" w:color="auto" w:sz="4" w:space="0"/>
              <w:right w:val="single" w:color="auto" w:sz="4" w:space="0"/>
            </w:tcBorders>
            <w:vAlign w:val="center"/>
          </w:tcPr>
          <w:p w14:paraId="5805043E">
            <w:pPr>
              <w:autoSpaceDE w:val="0"/>
              <w:autoSpaceDN w:val="0"/>
              <w:rPr>
                <w:rFonts w:ascii="宋体" w:hAnsi="宋体" w:cs="宋体"/>
                <w:color w:val="auto"/>
                <w:szCs w:val="21"/>
                <w:highlight w:val="none"/>
              </w:rPr>
            </w:pPr>
            <w:r>
              <w:rPr>
                <w:rFonts w:hint="eastAsia"/>
                <w:color w:val="auto"/>
                <w:szCs w:val="21"/>
                <w:highlight w:val="none"/>
              </w:rPr>
              <w:t>■</w:t>
            </w:r>
            <w:r>
              <w:rPr>
                <w:rFonts w:hint="eastAsia" w:ascii="宋体" w:hAnsi="宋体" w:cs="宋体"/>
                <w:color w:val="auto"/>
                <w:szCs w:val="21"/>
                <w:highlight w:val="none"/>
              </w:rPr>
              <w:t>不接受</w:t>
            </w:r>
          </w:p>
          <w:p w14:paraId="29A50F31">
            <w:pPr>
              <w:autoSpaceDE w:val="0"/>
              <w:autoSpaceDN w:val="0"/>
              <w:rPr>
                <w:rFonts w:ascii="宋体" w:hAnsi="宋体" w:cs="宋体"/>
                <w:color w:val="auto"/>
                <w:szCs w:val="21"/>
                <w:highlight w:val="none"/>
              </w:rPr>
            </w:pPr>
            <w:r>
              <w:rPr>
                <w:rFonts w:hint="eastAsia" w:ascii="宋体" w:hAnsi="宋体"/>
                <w:color w:val="auto"/>
                <w:szCs w:val="21"/>
                <w:highlight w:val="none"/>
              </w:rPr>
              <w:t>□</w:t>
            </w:r>
            <w:r>
              <w:rPr>
                <w:rFonts w:hint="eastAsia" w:ascii="宋体" w:hAnsi="宋体" w:cs="宋体"/>
                <w:color w:val="auto"/>
                <w:szCs w:val="21"/>
                <w:highlight w:val="none"/>
              </w:rPr>
              <w:t>接受，</w:t>
            </w:r>
            <w:r>
              <w:rPr>
                <w:rFonts w:hint="eastAsia" w:ascii="宋体" w:hAnsi="宋体"/>
                <w:color w:val="auto"/>
                <w:szCs w:val="21"/>
                <w:highlight w:val="none"/>
              </w:rPr>
              <w:t>联合体响应的，应满足下列要求：</w:t>
            </w:r>
            <w:r>
              <w:rPr>
                <w:rFonts w:hint="eastAsia" w:ascii="宋体" w:hAnsi="宋体"/>
                <w:color w:val="auto"/>
                <w:szCs w:val="21"/>
                <w:highlight w:val="none"/>
                <w:u w:val="single"/>
              </w:rPr>
              <w:t xml:space="preserve">         </w:t>
            </w:r>
            <w:r>
              <w:rPr>
                <w:rFonts w:hint="eastAsia" w:ascii="宋体" w:hAnsi="宋体"/>
                <w:color w:val="auto"/>
                <w:szCs w:val="21"/>
                <w:highlight w:val="none"/>
              </w:rPr>
              <w:t>。</w:t>
            </w:r>
          </w:p>
        </w:tc>
      </w:tr>
      <w:tr w14:paraId="21185387">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14:paraId="79F0748C">
            <w:pPr>
              <w:jc w:val="center"/>
              <w:rPr>
                <w:rFonts w:ascii="宋体" w:hAnsi="宋体" w:cs="宋体"/>
                <w:color w:val="auto"/>
                <w:szCs w:val="21"/>
                <w:highlight w:val="none"/>
              </w:rPr>
            </w:pPr>
            <w:r>
              <w:rPr>
                <w:rFonts w:hint="eastAsia" w:ascii="宋体" w:hAnsi="宋体" w:cs="宋体"/>
                <w:color w:val="auto"/>
                <w:szCs w:val="21"/>
                <w:highlight w:val="none"/>
              </w:rPr>
              <w:t>1.12</w:t>
            </w:r>
          </w:p>
        </w:tc>
        <w:tc>
          <w:tcPr>
            <w:tcW w:w="1843" w:type="dxa"/>
            <w:tcBorders>
              <w:top w:val="single" w:color="auto" w:sz="4" w:space="0"/>
              <w:left w:val="single" w:color="auto" w:sz="4" w:space="0"/>
              <w:bottom w:val="single" w:color="auto" w:sz="4" w:space="0"/>
              <w:right w:val="single" w:color="auto" w:sz="4" w:space="0"/>
            </w:tcBorders>
            <w:vAlign w:val="center"/>
          </w:tcPr>
          <w:p w14:paraId="718F0BCB">
            <w:pPr>
              <w:jc w:val="left"/>
              <w:rPr>
                <w:rFonts w:ascii="宋体" w:hAnsi="宋体" w:cs="宋体"/>
                <w:color w:val="auto"/>
                <w:szCs w:val="21"/>
                <w:highlight w:val="none"/>
              </w:rPr>
            </w:pPr>
            <w:r>
              <w:rPr>
                <w:rFonts w:hint="eastAsia" w:ascii="宋体" w:hAnsi="宋体" w:cs="宋体"/>
                <w:color w:val="auto"/>
                <w:szCs w:val="21"/>
                <w:highlight w:val="none"/>
              </w:rPr>
              <w:t>踏勘现场</w:t>
            </w:r>
          </w:p>
        </w:tc>
        <w:tc>
          <w:tcPr>
            <w:tcW w:w="6095" w:type="dxa"/>
            <w:tcBorders>
              <w:top w:val="single" w:color="auto" w:sz="4" w:space="0"/>
              <w:left w:val="single" w:color="auto" w:sz="4" w:space="0"/>
              <w:bottom w:val="single" w:color="auto" w:sz="4" w:space="0"/>
              <w:right w:val="single" w:color="auto" w:sz="4" w:space="0"/>
            </w:tcBorders>
            <w:vAlign w:val="center"/>
          </w:tcPr>
          <w:p w14:paraId="0123E6F1">
            <w:pPr>
              <w:autoSpaceDE w:val="0"/>
              <w:autoSpaceDN w:val="0"/>
              <w:rPr>
                <w:rFonts w:ascii="宋体" w:hAnsi="宋体" w:cs="宋体"/>
                <w:color w:val="auto"/>
                <w:szCs w:val="21"/>
                <w:highlight w:val="none"/>
              </w:rPr>
            </w:pPr>
            <w:r>
              <w:rPr>
                <w:rFonts w:hint="eastAsia"/>
                <w:color w:val="auto"/>
                <w:szCs w:val="21"/>
                <w:highlight w:val="none"/>
              </w:rPr>
              <w:t>■</w:t>
            </w:r>
            <w:r>
              <w:rPr>
                <w:rFonts w:hint="eastAsia" w:ascii="宋体" w:hAnsi="宋体" w:cs="宋体"/>
                <w:color w:val="auto"/>
                <w:szCs w:val="21"/>
                <w:highlight w:val="none"/>
              </w:rPr>
              <w:t>不组织</w:t>
            </w:r>
          </w:p>
          <w:p w14:paraId="178F26FC">
            <w:pPr>
              <w:autoSpaceDE w:val="0"/>
              <w:autoSpaceDN w:val="0"/>
              <w:rPr>
                <w:rFonts w:ascii="宋体" w:hAnsi="宋体" w:cs="宋体"/>
                <w:color w:val="auto"/>
                <w:szCs w:val="21"/>
                <w:highlight w:val="none"/>
              </w:rPr>
            </w:pPr>
            <w:r>
              <w:rPr>
                <w:rFonts w:hint="eastAsia" w:ascii="宋体" w:hAnsi="宋体"/>
                <w:color w:val="auto"/>
                <w:szCs w:val="21"/>
                <w:highlight w:val="none"/>
              </w:rPr>
              <w:t>□</w:t>
            </w:r>
            <w:r>
              <w:rPr>
                <w:rFonts w:hint="eastAsia" w:ascii="宋体" w:hAnsi="宋体" w:cs="宋体"/>
                <w:color w:val="auto"/>
                <w:szCs w:val="21"/>
                <w:highlight w:val="none"/>
              </w:rPr>
              <w:t>组织，踏勘现场时间、地点：</w:t>
            </w:r>
            <w:r>
              <w:rPr>
                <w:rFonts w:hint="eastAsia" w:ascii="宋体" w:hAnsi="宋体" w:cs="宋体"/>
                <w:color w:val="auto"/>
                <w:szCs w:val="21"/>
                <w:highlight w:val="none"/>
                <w:u w:val="single"/>
              </w:rPr>
              <w:t xml:space="preserve">                         </w:t>
            </w:r>
          </w:p>
        </w:tc>
      </w:tr>
      <w:tr w14:paraId="3A0E6D34">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14:paraId="14E8D475">
            <w:pPr>
              <w:jc w:val="center"/>
              <w:rPr>
                <w:rFonts w:ascii="宋体" w:hAnsi="宋体" w:cs="宋体"/>
                <w:color w:val="auto"/>
                <w:szCs w:val="21"/>
                <w:highlight w:val="none"/>
              </w:rPr>
            </w:pPr>
            <w:r>
              <w:rPr>
                <w:rFonts w:hint="eastAsia" w:ascii="宋体" w:hAnsi="宋体" w:cs="宋体"/>
                <w:color w:val="auto"/>
                <w:szCs w:val="21"/>
                <w:highlight w:val="none"/>
              </w:rPr>
              <w:t>2.1.3</w:t>
            </w:r>
          </w:p>
        </w:tc>
        <w:tc>
          <w:tcPr>
            <w:tcW w:w="1843" w:type="dxa"/>
            <w:tcBorders>
              <w:top w:val="single" w:color="auto" w:sz="4" w:space="0"/>
              <w:left w:val="single" w:color="auto" w:sz="4" w:space="0"/>
              <w:bottom w:val="single" w:color="auto" w:sz="4" w:space="0"/>
              <w:right w:val="single" w:color="auto" w:sz="4" w:space="0"/>
            </w:tcBorders>
            <w:vAlign w:val="center"/>
          </w:tcPr>
          <w:p w14:paraId="54E7A784">
            <w:pPr>
              <w:jc w:val="left"/>
              <w:rPr>
                <w:rFonts w:ascii="宋体" w:hAnsi="宋体" w:cs="宋体"/>
                <w:color w:val="auto"/>
                <w:szCs w:val="21"/>
                <w:highlight w:val="none"/>
              </w:rPr>
            </w:pPr>
            <w:r>
              <w:rPr>
                <w:rFonts w:hint="eastAsia" w:ascii="宋体" w:hAnsi="宋体" w:cs="宋体"/>
                <w:color w:val="auto"/>
                <w:szCs w:val="21"/>
                <w:highlight w:val="none"/>
              </w:rPr>
              <w:t>实质性要求</w:t>
            </w:r>
          </w:p>
        </w:tc>
        <w:tc>
          <w:tcPr>
            <w:tcW w:w="6095" w:type="dxa"/>
            <w:tcBorders>
              <w:top w:val="single" w:color="auto" w:sz="4" w:space="0"/>
              <w:left w:val="single" w:color="auto" w:sz="4" w:space="0"/>
              <w:bottom w:val="single" w:color="auto" w:sz="4" w:space="0"/>
              <w:right w:val="single" w:color="auto" w:sz="4" w:space="0"/>
            </w:tcBorders>
            <w:vAlign w:val="center"/>
          </w:tcPr>
          <w:p w14:paraId="1A5E919D">
            <w:pPr>
              <w:autoSpaceDE w:val="0"/>
              <w:autoSpaceDN w:val="0"/>
              <w:jc w:val="left"/>
              <w:rPr>
                <w:rFonts w:ascii="宋体" w:hAnsi="宋体" w:cs="宋体"/>
                <w:color w:val="auto"/>
                <w:szCs w:val="21"/>
                <w:highlight w:val="none"/>
              </w:rPr>
            </w:pPr>
            <w:r>
              <w:rPr>
                <w:rFonts w:hint="eastAsia" w:ascii="宋体" w:hAnsi="宋体" w:cs="宋体"/>
                <w:color w:val="auto"/>
                <w:szCs w:val="21"/>
                <w:highlight w:val="none"/>
              </w:rPr>
              <w:t>竞争性谈判文件中标识“</w:t>
            </w:r>
            <w:r>
              <w:rPr>
                <w:rFonts w:eastAsia="黑体"/>
                <w:color w:val="auto"/>
                <w:sz w:val="32"/>
                <w:szCs w:val="32"/>
                <w:highlight w:val="none"/>
              </w:rPr>
              <w:sym w:font="Wingdings" w:char="00AB"/>
            </w:r>
            <w:r>
              <w:rPr>
                <w:rFonts w:hint="eastAsia" w:ascii="宋体" w:hAnsi="宋体" w:cs="宋体"/>
                <w:color w:val="auto"/>
                <w:szCs w:val="21"/>
                <w:highlight w:val="none"/>
              </w:rPr>
              <w:t>”的条款，均为实质性条款，任何不满足实质性条款的谈判响应将被否决。</w:t>
            </w:r>
          </w:p>
        </w:tc>
      </w:tr>
      <w:tr w14:paraId="20C4A9E3">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14:paraId="492F60AC">
            <w:pPr>
              <w:jc w:val="center"/>
              <w:rPr>
                <w:rFonts w:ascii="宋体" w:hAnsi="宋体" w:cs="宋体"/>
                <w:color w:val="auto"/>
                <w:szCs w:val="21"/>
                <w:highlight w:val="none"/>
              </w:rPr>
            </w:pPr>
            <w:r>
              <w:rPr>
                <w:rFonts w:hint="eastAsia" w:ascii="宋体" w:hAnsi="宋体" w:cs="宋体"/>
                <w:color w:val="auto"/>
                <w:szCs w:val="21"/>
                <w:highlight w:val="none"/>
              </w:rPr>
              <w:t>2.2.1</w:t>
            </w:r>
          </w:p>
        </w:tc>
        <w:tc>
          <w:tcPr>
            <w:tcW w:w="1843" w:type="dxa"/>
            <w:tcBorders>
              <w:top w:val="single" w:color="auto" w:sz="4" w:space="0"/>
              <w:left w:val="single" w:color="auto" w:sz="4" w:space="0"/>
              <w:bottom w:val="single" w:color="auto" w:sz="4" w:space="0"/>
              <w:right w:val="single" w:color="auto" w:sz="4" w:space="0"/>
            </w:tcBorders>
            <w:vAlign w:val="center"/>
          </w:tcPr>
          <w:p w14:paraId="761AB080">
            <w:pPr>
              <w:jc w:val="left"/>
              <w:rPr>
                <w:rFonts w:ascii="宋体" w:hAnsi="宋体" w:cs="宋体"/>
                <w:color w:val="auto"/>
                <w:szCs w:val="21"/>
                <w:highlight w:val="none"/>
              </w:rPr>
            </w:pPr>
            <w:r>
              <w:rPr>
                <w:rFonts w:hint="eastAsia" w:ascii="宋体" w:hAnsi="宋体" w:cs="宋体"/>
                <w:color w:val="auto"/>
                <w:szCs w:val="21"/>
                <w:highlight w:val="none"/>
              </w:rPr>
              <w:t>响应人提出澄清要求的截止时间和方式</w:t>
            </w:r>
          </w:p>
        </w:tc>
        <w:tc>
          <w:tcPr>
            <w:tcW w:w="6095" w:type="dxa"/>
            <w:tcBorders>
              <w:top w:val="single" w:color="auto" w:sz="4" w:space="0"/>
              <w:left w:val="single" w:color="auto" w:sz="4" w:space="0"/>
              <w:bottom w:val="single" w:color="auto" w:sz="4" w:space="0"/>
              <w:right w:val="single" w:color="auto" w:sz="4" w:space="0"/>
            </w:tcBorders>
            <w:vAlign w:val="center"/>
          </w:tcPr>
          <w:p w14:paraId="71A0E35B">
            <w:pPr>
              <w:autoSpaceDE w:val="0"/>
              <w:autoSpaceDN w:val="0"/>
              <w:rPr>
                <w:rFonts w:ascii="宋体" w:hAnsi="宋体" w:cs="宋体"/>
                <w:color w:val="auto"/>
                <w:szCs w:val="21"/>
                <w:highlight w:val="none"/>
              </w:rPr>
            </w:pPr>
            <w:r>
              <w:rPr>
                <w:rFonts w:hint="eastAsia" w:ascii="宋体" w:hAnsi="宋体" w:cs="宋体"/>
                <w:color w:val="auto"/>
                <w:szCs w:val="21"/>
                <w:highlight w:val="none"/>
              </w:rPr>
              <w:t>响应人应当在提交响应文件截止时间至少2日前提出澄清要求。</w:t>
            </w:r>
          </w:p>
          <w:p w14:paraId="44AC878C">
            <w:pPr>
              <w:autoSpaceDE w:val="0"/>
              <w:autoSpaceDN w:val="0"/>
              <w:rPr>
                <w:rFonts w:ascii="宋体" w:hAnsi="宋体" w:cs="宋体"/>
                <w:color w:val="auto"/>
                <w:szCs w:val="21"/>
                <w:highlight w:val="none"/>
              </w:rPr>
            </w:pPr>
            <w:r>
              <w:rPr>
                <w:rFonts w:hint="eastAsia" w:ascii="宋体" w:hAnsi="宋体" w:cs="宋体"/>
                <w:color w:val="auto"/>
                <w:szCs w:val="21"/>
                <w:highlight w:val="none"/>
              </w:rPr>
              <w:t>提出澄清要求的方式：书面方式</w:t>
            </w:r>
          </w:p>
        </w:tc>
      </w:tr>
      <w:tr w14:paraId="5F3DF658">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14:paraId="467EB187">
            <w:pPr>
              <w:jc w:val="center"/>
              <w:rPr>
                <w:rFonts w:ascii="宋体" w:hAnsi="宋体" w:cs="宋体"/>
                <w:color w:val="auto"/>
                <w:szCs w:val="21"/>
                <w:highlight w:val="none"/>
              </w:rPr>
            </w:pPr>
            <w:r>
              <w:rPr>
                <w:rFonts w:hint="eastAsia" w:ascii="宋体" w:hAnsi="宋体" w:cs="宋体"/>
                <w:color w:val="auto"/>
                <w:szCs w:val="21"/>
                <w:highlight w:val="none"/>
              </w:rPr>
              <w:t>2.2.2</w:t>
            </w:r>
          </w:p>
        </w:tc>
        <w:tc>
          <w:tcPr>
            <w:tcW w:w="1843" w:type="dxa"/>
            <w:tcBorders>
              <w:top w:val="single" w:color="auto" w:sz="4" w:space="0"/>
              <w:left w:val="single" w:color="auto" w:sz="4" w:space="0"/>
              <w:bottom w:val="single" w:color="auto" w:sz="4" w:space="0"/>
              <w:right w:val="single" w:color="auto" w:sz="4" w:space="0"/>
            </w:tcBorders>
            <w:vAlign w:val="center"/>
          </w:tcPr>
          <w:p w14:paraId="24928E59">
            <w:pPr>
              <w:jc w:val="left"/>
              <w:rPr>
                <w:rFonts w:ascii="宋体" w:hAnsi="宋体" w:cs="宋体"/>
                <w:color w:val="auto"/>
                <w:szCs w:val="21"/>
                <w:highlight w:val="none"/>
              </w:rPr>
            </w:pPr>
            <w:r>
              <w:rPr>
                <w:rFonts w:hint="eastAsia" w:ascii="宋体" w:hAnsi="宋体" w:cs="宋体"/>
                <w:color w:val="auto"/>
                <w:szCs w:val="21"/>
                <w:highlight w:val="none"/>
              </w:rPr>
              <w:t>采购人澄清或修改发布方式</w:t>
            </w:r>
          </w:p>
        </w:tc>
        <w:tc>
          <w:tcPr>
            <w:tcW w:w="6095" w:type="dxa"/>
            <w:tcBorders>
              <w:top w:val="single" w:color="auto" w:sz="4" w:space="0"/>
              <w:left w:val="single" w:color="auto" w:sz="4" w:space="0"/>
              <w:bottom w:val="single" w:color="auto" w:sz="4" w:space="0"/>
              <w:right w:val="single" w:color="auto" w:sz="4" w:space="0"/>
            </w:tcBorders>
            <w:vAlign w:val="center"/>
          </w:tcPr>
          <w:p w14:paraId="7EB1C933">
            <w:pPr>
              <w:autoSpaceDE w:val="0"/>
              <w:autoSpaceDN w:val="0"/>
              <w:rPr>
                <w:color w:val="auto"/>
                <w:highlight w:val="none"/>
              </w:rPr>
            </w:pPr>
            <w:r>
              <w:rPr>
                <w:rFonts w:hint="eastAsia" w:ascii="宋体" w:hAnsi="宋体" w:cs="宋体"/>
                <w:color w:val="auto"/>
                <w:szCs w:val="21"/>
                <w:highlight w:val="none"/>
              </w:rPr>
              <w:t>采购人发出的澄清或修改内容统一以补充通知文件形式发布在</w:t>
            </w:r>
            <w:r>
              <w:rPr>
                <w:rFonts w:hint="eastAsia"/>
                <w:color w:val="auto"/>
                <w:highlight w:val="none"/>
                <w:u w:val="single"/>
              </w:rPr>
              <w:t>东莞实业投资控股集团有限公司网站</w:t>
            </w:r>
            <w:r>
              <w:rPr>
                <w:color w:val="auto"/>
                <w:highlight w:val="none"/>
                <w:u w:val="single"/>
              </w:rPr>
              <w:t>（</w:t>
            </w:r>
            <w:r>
              <w:rPr>
                <w:rFonts w:hint="eastAsia"/>
                <w:color w:val="auto"/>
                <w:highlight w:val="none"/>
                <w:u w:val="single"/>
              </w:rPr>
              <w:t>网址：http://www.dgsy.com.cn/</w:t>
            </w:r>
            <w:r>
              <w:rPr>
                <w:color w:val="auto"/>
                <w:highlight w:val="none"/>
                <w:u w:val="single"/>
              </w:rPr>
              <w:t>）</w:t>
            </w:r>
            <w:r>
              <w:rPr>
                <w:rFonts w:hint="eastAsia" w:ascii="宋体" w:hAnsi="宋体"/>
                <w:color w:val="auto"/>
                <w:szCs w:val="21"/>
                <w:highlight w:val="none"/>
                <w:u w:val="single"/>
              </w:rPr>
              <w:t>、</w:t>
            </w:r>
            <w:r>
              <w:rPr>
                <w:color w:val="auto"/>
                <w:highlight w:val="none"/>
                <w:u w:val="single"/>
              </w:rPr>
              <w:t xml:space="preserve"> </w:t>
            </w:r>
            <w:r>
              <w:rPr>
                <w:rFonts w:hint="eastAsia"/>
                <w:color w:val="auto"/>
                <w:highlight w:val="none"/>
                <w:u w:val="single"/>
                <w:lang w:eastAsia="zh-CN"/>
              </w:rPr>
              <w:t>广东政通招标有限公司</w:t>
            </w:r>
            <w:r>
              <w:rPr>
                <w:rFonts w:hint="eastAsia"/>
                <w:color w:val="auto"/>
                <w:highlight w:val="none"/>
                <w:u w:val="single"/>
              </w:rPr>
              <w:t>网</w:t>
            </w:r>
            <w:r>
              <w:rPr>
                <w:rFonts w:hint="eastAsia"/>
                <w:color w:val="auto"/>
                <w:highlight w:val="none"/>
                <w:u w:val="single"/>
                <w:lang w:val="en-US" w:eastAsia="zh-CN"/>
              </w:rPr>
              <w:t xml:space="preserve"> </w:t>
            </w:r>
            <w:r>
              <w:rPr>
                <w:rFonts w:hint="eastAsia" w:ascii="宋体" w:hAnsi="宋体"/>
                <w:color w:val="auto"/>
                <w:szCs w:val="21"/>
                <w:highlight w:val="none"/>
              </w:rPr>
              <w:t>（网址：</w:t>
            </w:r>
            <w:r>
              <w:rPr>
                <w:color w:val="auto"/>
                <w:highlight w:val="none"/>
                <w:u w:val="single"/>
              </w:rPr>
              <w:t xml:space="preserve"> </w:t>
            </w:r>
            <w:r>
              <w:rPr>
                <w:rFonts w:hint="eastAsia"/>
                <w:color w:val="auto"/>
                <w:highlight w:val="none"/>
                <w:u w:val="single"/>
                <w:lang w:eastAsia="zh-CN"/>
              </w:rPr>
              <w:t>http://www.zttendering.com/</w:t>
            </w:r>
            <w:r>
              <w:rPr>
                <w:rFonts w:hint="eastAsia" w:ascii="宋体" w:hAnsi="宋体"/>
                <w:color w:val="auto"/>
                <w:szCs w:val="21"/>
                <w:highlight w:val="none"/>
              </w:rPr>
              <w:t>）</w:t>
            </w:r>
            <w:r>
              <w:rPr>
                <w:rFonts w:hint="eastAsia"/>
                <w:color w:val="auto"/>
                <w:highlight w:val="none"/>
              </w:rPr>
              <w:t>，视为潜在竞争性谈判响应人已获取相关文件。</w:t>
            </w:r>
          </w:p>
          <w:p w14:paraId="3D73C570">
            <w:pPr>
              <w:autoSpaceDE w:val="0"/>
              <w:autoSpaceDN w:val="0"/>
              <w:rPr>
                <w:rFonts w:ascii="宋体" w:hAnsi="宋体" w:cs="宋体"/>
                <w:color w:val="auto"/>
                <w:szCs w:val="21"/>
                <w:highlight w:val="none"/>
              </w:rPr>
            </w:pPr>
            <w:r>
              <w:rPr>
                <w:rFonts w:hint="eastAsia"/>
                <w:color w:val="auto"/>
                <w:highlight w:val="none"/>
              </w:rPr>
              <w:t>若潜在竞争性谈判响应人未留意或未及时获取</w:t>
            </w:r>
            <w:r>
              <w:rPr>
                <w:rFonts w:hint="eastAsia" w:ascii="宋体" w:hAnsi="宋体" w:cs="宋体"/>
                <w:color w:val="auto"/>
                <w:szCs w:val="21"/>
                <w:highlight w:val="none"/>
              </w:rPr>
              <w:t>补充通知文件</w:t>
            </w:r>
            <w:r>
              <w:rPr>
                <w:rFonts w:hint="eastAsia"/>
                <w:color w:val="auto"/>
                <w:highlight w:val="none"/>
              </w:rPr>
              <w:t>，一切后果由竞争性谈判响应人自行承担。</w:t>
            </w:r>
          </w:p>
        </w:tc>
      </w:tr>
      <w:tr w14:paraId="0EEDFCC6">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14:paraId="7709DC3C">
            <w:pPr>
              <w:jc w:val="center"/>
              <w:rPr>
                <w:color w:val="auto"/>
                <w:szCs w:val="21"/>
                <w:highlight w:val="none"/>
              </w:rPr>
            </w:pPr>
            <w:r>
              <w:rPr>
                <w:rFonts w:hint="eastAsia"/>
                <w:color w:val="auto"/>
                <w:szCs w:val="21"/>
                <w:highlight w:val="none"/>
              </w:rPr>
              <w:t>3.2.2</w:t>
            </w:r>
          </w:p>
        </w:tc>
        <w:tc>
          <w:tcPr>
            <w:tcW w:w="1843" w:type="dxa"/>
            <w:tcBorders>
              <w:top w:val="single" w:color="auto" w:sz="4" w:space="0"/>
              <w:left w:val="single" w:color="auto" w:sz="4" w:space="0"/>
              <w:bottom w:val="single" w:color="auto" w:sz="4" w:space="0"/>
              <w:right w:val="single" w:color="auto" w:sz="4" w:space="0"/>
            </w:tcBorders>
            <w:vAlign w:val="center"/>
          </w:tcPr>
          <w:p w14:paraId="4349B2CD">
            <w:pPr>
              <w:jc w:val="left"/>
              <w:rPr>
                <w:color w:val="auto"/>
                <w:szCs w:val="21"/>
                <w:highlight w:val="none"/>
              </w:rPr>
            </w:pPr>
            <w:r>
              <w:rPr>
                <w:rFonts w:hint="eastAsia" w:ascii="宋体" w:hAnsi="宋体" w:cs="宋体"/>
                <w:color w:val="auto"/>
                <w:szCs w:val="21"/>
                <w:highlight w:val="none"/>
              </w:rPr>
              <w:t>响应文件响应和编写</w:t>
            </w:r>
          </w:p>
        </w:tc>
        <w:tc>
          <w:tcPr>
            <w:tcW w:w="6095" w:type="dxa"/>
            <w:tcBorders>
              <w:top w:val="single" w:color="auto" w:sz="4" w:space="0"/>
              <w:left w:val="single" w:color="auto" w:sz="4" w:space="0"/>
              <w:bottom w:val="single" w:color="auto" w:sz="4" w:space="0"/>
              <w:right w:val="single" w:color="auto" w:sz="4" w:space="0"/>
            </w:tcBorders>
            <w:vAlign w:val="center"/>
          </w:tcPr>
          <w:p w14:paraId="1A8B5A0C">
            <w:pPr>
              <w:autoSpaceDE w:val="0"/>
              <w:autoSpaceDN w:val="0"/>
              <w:rPr>
                <w:rFonts w:ascii="宋体" w:hAnsi="宋体" w:cs="宋体"/>
                <w:color w:val="auto"/>
                <w:szCs w:val="21"/>
                <w:highlight w:val="none"/>
              </w:rPr>
            </w:pPr>
            <w:r>
              <w:rPr>
                <w:rFonts w:hint="eastAsia" w:ascii="宋体" w:hAnsi="宋体" w:cs="宋体"/>
                <w:color w:val="auto"/>
                <w:szCs w:val="21"/>
                <w:highlight w:val="none"/>
              </w:rPr>
              <w:t>本条款增加规定：</w:t>
            </w:r>
          </w:p>
          <w:p w14:paraId="46BA2990">
            <w:pPr>
              <w:numPr>
                <w:ilvl w:val="0"/>
                <w:numId w:val="4"/>
              </w:numPr>
              <w:tabs>
                <w:tab w:val="left" w:pos="318"/>
              </w:tabs>
              <w:rPr>
                <w:rFonts w:ascii="宋体" w:hAnsi="宋体"/>
                <w:color w:val="auto"/>
                <w:szCs w:val="21"/>
                <w:highlight w:val="none"/>
              </w:rPr>
            </w:pPr>
            <w:r>
              <w:rPr>
                <w:rFonts w:hint="eastAsia" w:ascii="宋体" w:hAnsi="宋体"/>
                <w:color w:val="auto"/>
                <w:szCs w:val="21"/>
                <w:highlight w:val="none"/>
              </w:rPr>
              <w:t>响应人应</w:t>
            </w:r>
            <w:r>
              <w:rPr>
                <w:rFonts w:ascii="宋体" w:hAnsi="宋体"/>
                <w:color w:val="auto"/>
                <w:szCs w:val="21"/>
                <w:highlight w:val="none"/>
              </w:rPr>
              <w:t>对竞争性谈判文件中的</w:t>
            </w:r>
            <w:r>
              <w:rPr>
                <w:rFonts w:hint="eastAsia" w:ascii="宋体" w:hAnsi="宋体"/>
                <w:color w:val="auto"/>
                <w:szCs w:val="21"/>
                <w:highlight w:val="none"/>
              </w:rPr>
              <w:t>《</w:t>
            </w:r>
            <w:r>
              <w:rPr>
                <w:rFonts w:hint="eastAsia" w:ascii="宋体" w:hAnsi="宋体" w:cs="宋体"/>
                <w:color w:val="auto"/>
                <w:szCs w:val="21"/>
                <w:highlight w:val="none"/>
              </w:rPr>
              <w:t>“</w:t>
            </w:r>
            <w:r>
              <w:rPr>
                <w:rFonts w:eastAsia="黑体"/>
                <w:b/>
                <w:color w:val="auto"/>
                <w:sz w:val="32"/>
                <w:szCs w:val="32"/>
                <w:highlight w:val="none"/>
              </w:rPr>
              <w:sym w:font="Wingdings" w:char="00AB"/>
            </w:r>
            <w:r>
              <w:rPr>
                <w:rFonts w:hint="eastAsia" w:ascii="宋体" w:hAnsi="宋体" w:cs="宋体"/>
                <w:color w:val="auto"/>
                <w:szCs w:val="21"/>
                <w:highlight w:val="none"/>
              </w:rPr>
              <w:t>”</w:t>
            </w:r>
            <w:r>
              <w:rPr>
                <w:rFonts w:hint="eastAsia" w:ascii="宋体" w:hAnsi="宋体"/>
                <w:color w:val="auto"/>
                <w:szCs w:val="21"/>
                <w:highlight w:val="none"/>
              </w:rPr>
              <w:t>号条款响应表》填写实质性条款响应情况。</w:t>
            </w:r>
            <w:r>
              <w:rPr>
                <w:rFonts w:hint="eastAsia" w:hAnsi="宋体"/>
                <w:b/>
                <w:color w:val="auto"/>
                <w:szCs w:val="21"/>
                <w:highlight w:val="none"/>
              </w:rPr>
              <w:t>响应人若有一项带“★”的条款未响应或不满足，将按无效响应处理。</w:t>
            </w:r>
          </w:p>
          <w:p w14:paraId="11D79AA5">
            <w:pPr>
              <w:numPr>
                <w:ilvl w:val="0"/>
                <w:numId w:val="4"/>
              </w:numPr>
              <w:tabs>
                <w:tab w:val="left" w:pos="318"/>
              </w:tabs>
              <w:rPr>
                <w:color w:val="auto"/>
                <w:szCs w:val="21"/>
                <w:highlight w:val="none"/>
              </w:rPr>
            </w:pPr>
            <w:r>
              <w:rPr>
                <w:rFonts w:hint="eastAsia" w:ascii="宋体" w:hAnsi="宋体" w:cs="宋体"/>
                <w:bCs/>
                <w:color w:val="auto"/>
                <w:szCs w:val="21"/>
                <w:highlight w:val="none"/>
              </w:rPr>
              <w:t>响应人对竞争性谈判文件中</w:t>
            </w:r>
            <w:r>
              <w:rPr>
                <w:rFonts w:ascii="宋体" w:hAnsi="宋体"/>
                <w:color w:val="auto"/>
                <w:szCs w:val="21"/>
                <w:highlight w:val="none"/>
              </w:rPr>
              <w:t>“合同条款”</w:t>
            </w:r>
            <w:r>
              <w:rPr>
                <w:rFonts w:hint="eastAsia" w:ascii="宋体" w:hAnsi="宋体"/>
                <w:color w:val="auto"/>
                <w:szCs w:val="21"/>
                <w:highlight w:val="none"/>
              </w:rPr>
              <w:t>、“用户需求书/技术规范书”</w:t>
            </w:r>
            <w:r>
              <w:rPr>
                <w:rFonts w:hint="eastAsia" w:ascii="宋体" w:hAnsi="宋体" w:cs="宋体"/>
                <w:bCs/>
                <w:color w:val="auto"/>
                <w:szCs w:val="21"/>
                <w:highlight w:val="none"/>
              </w:rPr>
              <w:t>作出的负偏离，采购人如不接受，可要求响应人以竞争性谈判文件中的要求为准，如响应人拒绝的，采购人有权取消其成交资格或取消合同，采购人不作任何补偿。</w:t>
            </w:r>
          </w:p>
        </w:tc>
      </w:tr>
      <w:tr w14:paraId="2F3E204E">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14:paraId="662B5D30">
            <w:pPr>
              <w:jc w:val="center"/>
              <w:rPr>
                <w:color w:val="auto"/>
                <w:szCs w:val="21"/>
                <w:highlight w:val="none"/>
              </w:rPr>
            </w:pPr>
            <w:r>
              <w:rPr>
                <w:rFonts w:hint="eastAsia"/>
                <w:color w:val="auto"/>
                <w:szCs w:val="21"/>
                <w:highlight w:val="none"/>
              </w:rPr>
              <w:t>3.2.4</w:t>
            </w:r>
          </w:p>
        </w:tc>
        <w:tc>
          <w:tcPr>
            <w:tcW w:w="1843" w:type="dxa"/>
            <w:tcBorders>
              <w:top w:val="single" w:color="auto" w:sz="4" w:space="0"/>
              <w:left w:val="single" w:color="auto" w:sz="4" w:space="0"/>
              <w:bottom w:val="single" w:color="auto" w:sz="4" w:space="0"/>
              <w:right w:val="single" w:color="auto" w:sz="4" w:space="0"/>
            </w:tcBorders>
            <w:vAlign w:val="center"/>
          </w:tcPr>
          <w:p w14:paraId="0615809B">
            <w:pPr>
              <w:jc w:val="left"/>
              <w:rPr>
                <w:color w:val="auto"/>
                <w:szCs w:val="21"/>
                <w:highlight w:val="none"/>
              </w:rPr>
            </w:pPr>
            <w:r>
              <w:rPr>
                <w:rFonts w:hint="eastAsia" w:ascii="宋体" w:hAnsi="宋体" w:cs="宋体"/>
                <w:color w:val="auto"/>
                <w:szCs w:val="21"/>
                <w:highlight w:val="none"/>
              </w:rPr>
              <w:t>响应文件的盖章</w:t>
            </w:r>
          </w:p>
        </w:tc>
        <w:tc>
          <w:tcPr>
            <w:tcW w:w="6095" w:type="dxa"/>
            <w:tcBorders>
              <w:top w:val="single" w:color="auto" w:sz="4" w:space="0"/>
              <w:left w:val="single" w:color="auto" w:sz="4" w:space="0"/>
              <w:bottom w:val="single" w:color="auto" w:sz="4" w:space="0"/>
              <w:right w:val="single" w:color="auto" w:sz="4" w:space="0"/>
            </w:tcBorders>
            <w:vAlign w:val="center"/>
          </w:tcPr>
          <w:p w14:paraId="2061EC08">
            <w:pPr>
              <w:autoSpaceDE w:val="0"/>
              <w:autoSpaceDN w:val="0"/>
              <w:rPr>
                <w:rFonts w:ascii="宋体" w:hAnsi="宋体" w:cs="宋体"/>
                <w:color w:val="auto"/>
                <w:szCs w:val="21"/>
                <w:highlight w:val="none"/>
              </w:rPr>
            </w:pPr>
            <w:r>
              <w:rPr>
                <w:rFonts w:hint="eastAsia" w:ascii="宋体" w:hAnsi="宋体" w:cs="宋体"/>
                <w:color w:val="auto"/>
                <w:szCs w:val="21"/>
                <w:highlight w:val="none"/>
              </w:rPr>
              <w:t>本条款增加规定：</w:t>
            </w:r>
          </w:p>
          <w:p w14:paraId="3C769A8B">
            <w:pPr>
              <w:numPr>
                <w:ilvl w:val="0"/>
                <w:numId w:val="5"/>
              </w:numPr>
              <w:rPr>
                <w:rFonts w:ascii="宋体" w:hAnsi="宋体"/>
                <w:b/>
                <w:color w:val="auto"/>
                <w:szCs w:val="21"/>
                <w:highlight w:val="none"/>
              </w:rPr>
            </w:pPr>
            <w:r>
              <w:rPr>
                <w:rFonts w:hint="eastAsia" w:ascii="宋体" w:hAnsi="宋体"/>
                <w:b/>
                <w:color w:val="auto"/>
                <w:szCs w:val="21"/>
                <w:highlight w:val="none"/>
              </w:rPr>
              <w:t>响应文件中凡出现响应人单位落款的地方应盖单位公章，如使用依照国家行政部门要求已备案的投标专用章、业务专用章的，应提供所使用印章的合法备案证明（复印件需加盖公章）。</w:t>
            </w:r>
          </w:p>
          <w:p w14:paraId="06774CDE">
            <w:pPr>
              <w:numPr>
                <w:ilvl w:val="0"/>
                <w:numId w:val="5"/>
              </w:numPr>
              <w:rPr>
                <w:rFonts w:ascii="宋体" w:hAnsi="宋体"/>
                <w:color w:val="auto"/>
                <w:szCs w:val="21"/>
                <w:highlight w:val="none"/>
              </w:rPr>
            </w:pPr>
            <w:r>
              <w:rPr>
                <w:rFonts w:hint="eastAsia" w:ascii="宋体" w:hAnsi="宋体"/>
                <w:color w:val="auto"/>
                <w:szCs w:val="21"/>
                <w:highlight w:val="none"/>
              </w:rPr>
              <w:t>同时响应文件盖章必须符合以下其中一种：</w:t>
            </w:r>
          </w:p>
          <w:p w14:paraId="1FB8B5EC">
            <w:pPr>
              <w:numPr>
                <w:ilvl w:val="0"/>
                <w:numId w:val="6"/>
              </w:numPr>
              <w:ind w:left="381" w:hanging="381"/>
              <w:rPr>
                <w:rFonts w:ascii="宋体" w:hAnsi="宋体"/>
                <w:color w:val="auto"/>
                <w:szCs w:val="21"/>
                <w:highlight w:val="none"/>
              </w:rPr>
            </w:pPr>
            <w:r>
              <w:rPr>
                <w:rFonts w:hint="eastAsia" w:ascii="宋体" w:hAnsi="宋体"/>
                <w:color w:val="auto"/>
                <w:szCs w:val="21"/>
                <w:highlight w:val="none"/>
              </w:rPr>
              <w:t>加盖响应人单位骑缝章；</w:t>
            </w:r>
          </w:p>
          <w:p w14:paraId="71E035B3">
            <w:pPr>
              <w:numPr>
                <w:ilvl w:val="0"/>
                <w:numId w:val="6"/>
              </w:numPr>
              <w:ind w:left="381" w:hanging="381"/>
              <w:rPr>
                <w:rFonts w:ascii="宋体" w:hAnsi="宋体"/>
                <w:color w:val="auto"/>
                <w:szCs w:val="21"/>
                <w:highlight w:val="none"/>
              </w:rPr>
            </w:pPr>
            <w:r>
              <w:rPr>
                <w:rFonts w:hint="eastAsia" w:ascii="宋体" w:hAnsi="宋体"/>
                <w:color w:val="auto"/>
                <w:szCs w:val="21"/>
                <w:highlight w:val="none"/>
              </w:rPr>
              <w:t xml:space="preserve">逐页加盖响应人单位印章。 </w:t>
            </w:r>
          </w:p>
          <w:p w14:paraId="6C513EB3">
            <w:pPr>
              <w:pStyle w:val="70"/>
              <w:ind w:firstLine="0" w:firstLineChars="0"/>
              <w:rPr>
                <w:color w:val="auto"/>
                <w:szCs w:val="21"/>
                <w:highlight w:val="none"/>
              </w:rPr>
            </w:pPr>
            <w:r>
              <w:rPr>
                <w:rFonts w:hint="eastAsia" w:ascii="宋体" w:hAnsi="宋体"/>
                <w:b/>
                <w:color w:val="auto"/>
                <w:szCs w:val="21"/>
                <w:highlight w:val="none"/>
              </w:rPr>
              <w:t>请按上述要求制作响应文件，否则其谈判响应将被否决。</w:t>
            </w:r>
          </w:p>
        </w:tc>
      </w:tr>
      <w:tr w14:paraId="040A79A6">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14:paraId="36488D81">
            <w:pPr>
              <w:jc w:val="center"/>
              <w:rPr>
                <w:color w:val="auto"/>
                <w:szCs w:val="21"/>
                <w:highlight w:val="none"/>
              </w:rPr>
            </w:pPr>
            <w:r>
              <w:rPr>
                <w:rFonts w:hint="eastAsia"/>
                <w:color w:val="auto"/>
                <w:szCs w:val="21"/>
                <w:highlight w:val="none"/>
              </w:rPr>
              <w:t>3.3</w:t>
            </w:r>
          </w:p>
        </w:tc>
        <w:tc>
          <w:tcPr>
            <w:tcW w:w="1843" w:type="dxa"/>
            <w:tcBorders>
              <w:top w:val="single" w:color="auto" w:sz="4" w:space="0"/>
              <w:left w:val="single" w:color="auto" w:sz="4" w:space="0"/>
              <w:bottom w:val="single" w:color="auto" w:sz="4" w:space="0"/>
              <w:right w:val="single" w:color="auto" w:sz="4" w:space="0"/>
            </w:tcBorders>
            <w:vAlign w:val="center"/>
          </w:tcPr>
          <w:p w14:paraId="2EFC234E">
            <w:pPr>
              <w:jc w:val="center"/>
              <w:rPr>
                <w:rFonts w:ascii="宋体" w:hAnsi="宋体"/>
                <w:color w:val="auto"/>
                <w:szCs w:val="21"/>
                <w:highlight w:val="none"/>
              </w:rPr>
            </w:pPr>
            <w:r>
              <w:rPr>
                <w:rFonts w:hint="eastAsia" w:ascii="宋体" w:hAnsi="宋体"/>
                <w:color w:val="auto"/>
                <w:szCs w:val="21"/>
                <w:highlight w:val="none"/>
              </w:rPr>
              <w:t>报价方式及具体要求</w:t>
            </w:r>
          </w:p>
        </w:tc>
        <w:tc>
          <w:tcPr>
            <w:tcW w:w="6095" w:type="dxa"/>
            <w:tcBorders>
              <w:top w:val="single" w:color="auto" w:sz="4" w:space="0"/>
              <w:left w:val="single" w:color="auto" w:sz="4" w:space="0"/>
              <w:bottom w:val="single" w:color="auto" w:sz="4" w:space="0"/>
              <w:right w:val="single" w:color="auto" w:sz="4" w:space="0"/>
            </w:tcBorders>
            <w:vAlign w:val="center"/>
          </w:tcPr>
          <w:p w14:paraId="3AEC0AF0">
            <w:pPr>
              <w:autoSpaceDE w:val="0"/>
              <w:autoSpaceDN w:val="0"/>
              <w:rPr>
                <w:rFonts w:ascii="宋体" w:hAnsi="宋体" w:cs="宋体"/>
                <w:color w:val="auto"/>
                <w:szCs w:val="21"/>
                <w:highlight w:val="none"/>
              </w:rPr>
            </w:pPr>
            <w:r>
              <w:rPr>
                <w:rFonts w:hint="eastAsia" w:ascii="宋体" w:hAnsi="宋体" w:cs="宋体"/>
                <w:color w:val="auto"/>
                <w:szCs w:val="21"/>
                <w:highlight w:val="none"/>
              </w:rPr>
              <w:t>本条款增加规定：</w:t>
            </w:r>
          </w:p>
          <w:p w14:paraId="49B460C6">
            <w:pPr>
              <w:numPr>
                <w:ilvl w:val="0"/>
                <w:numId w:val="7"/>
              </w:numPr>
              <w:rPr>
                <w:rFonts w:ascii="宋体" w:hAnsi="宋体"/>
                <w:color w:val="auto"/>
                <w:szCs w:val="21"/>
                <w:highlight w:val="none"/>
              </w:rPr>
            </w:pPr>
            <w:r>
              <w:rPr>
                <w:rFonts w:hint="eastAsia" w:ascii="宋体" w:hAnsi="宋体"/>
                <w:color w:val="auto"/>
                <w:szCs w:val="21"/>
                <w:highlight w:val="none"/>
              </w:rPr>
              <w:t>本项目采用价税分离的报价方式。</w:t>
            </w:r>
          </w:p>
          <w:p w14:paraId="395FC3E9">
            <w:pPr>
              <w:numPr>
                <w:ilvl w:val="0"/>
                <w:numId w:val="7"/>
              </w:numPr>
              <w:rPr>
                <w:rFonts w:ascii="宋体" w:hAnsi="宋体"/>
                <w:color w:val="auto"/>
                <w:szCs w:val="21"/>
                <w:highlight w:val="none"/>
              </w:rPr>
            </w:pPr>
            <w:r>
              <w:rPr>
                <w:rFonts w:hint="eastAsia" w:ascii="宋体" w:hAnsi="宋体"/>
                <w:b/>
                <w:color w:val="auto"/>
                <w:szCs w:val="21"/>
                <w:highlight w:val="none"/>
              </w:rPr>
              <w:t>本项目谈判报价(含税）不得超过最高限价。</w:t>
            </w:r>
            <w:r>
              <w:rPr>
                <w:rFonts w:hint="eastAsia" w:ascii="宋体" w:hAnsi="宋体"/>
                <w:color w:val="auto"/>
                <w:szCs w:val="21"/>
                <w:highlight w:val="none"/>
              </w:rPr>
              <w:t>若谈判报价(含税）超过谈判最高限价的，或谈判小组按竞争性谈判文件的要求对谈判报价(含税）进行修正后的修正价格超过谈判最高限价的，将作否决谈判处理。</w:t>
            </w:r>
          </w:p>
          <w:p w14:paraId="1EA8E385">
            <w:pPr>
              <w:numPr>
                <w:ilvl w:val="0"/>
                <w:numId w:val="7"/>
              </w:numPr>
              <w:rPr>
                <w:rFonts w:ascii="宋体" w:hAnsi="宋体"/>
                <w:color w:val="auto"/>
                <w:szCs w:val="21"/>
                <w:highlight w:val="none"/>
              </w:rPr>
            </w:pPr>
            <w:r>
              <w:rPr>
                <w:rFonts w:hint="eastAsia" w:ascii="宋体" w:hAnsi="宋体"/>
                <w:color w:val="auto"/>
                <w:szCs w:val="21"/>
                <w:highlight w:val="none"/>
              </w:rPr>
              <w:t>谈判报价应包括所有材料、人工、利润及相关税费等所有费用。</w:t>
            </w:r>
          </w:p>
        </w:tc>
      </w:tr>
      <w:tr w14:paraId="64BB3090">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14:paraId="6C91A58B">
            <w:pPr>
              <w:jc w:val="center"/>
              <w:rPr>
                <w:color w:val="auto"/>
                <w:szCs w:val="21"/>
                <w:highlight w:val="none"/>
              </w:rPr>
            </w:pPr>
            <w:r>
              <w:rPr>
                <w:color w:val="auto"/>
                <w:szCs w:val="21"/>
                <w:highlight w:val="none"/>
              </w:rPr>
              <w:t>3.</w:t>
            </w:r>
            <w:r>
              <w:rPr>
                <w:rFonts w:hint="eastAsia"/>
                <w:color w:val="auto"/>
                <w:szCs w:val="21"/>
                <w:highlight w:val="none"/>
              </w:rPr>
              <w:t>4.1</w:t>
            </w:r>
          </w:p>
        </w:tc>
        <w:tc>
          <w:tcPr>
            <w:tcW w:w="1843" w:type="dxa"/>
            <w:tcBorders>
              <w:top w:val="single" w:color="auto" w:sz="4" w:space="0"/>
              <w:left w:val="single" w:color="auto" w:sz="4" w:space="0"/>
              <w:bottom w:val="single" w:color="auto" w:sz="4" w:space="0"/>
              <w:right w:val="single" w:color="auto" w:sz="4" w:space="0"/>
            </w:tcBorders>
            <w:vAlign w:val="center"/>
          </w:tcPr>
          <w:p w14:paraId="501D7A55">
            <w:pPr>
              <w:jc w:val="left"/>
              <w:rPr>
                <w:color w:val="auto"/>
                <w:szCs w:val="21"/>
                <w:highlight w:val="none"/>
              </w:rPr>
            </w:pPr>
            <w:r>
              <w:rPr>
                <w:rFonts w:hint="eastAsia" w:ascii="宋体" w:hAnsi="宋体" w:cs="宋体"/>
                <w:color w:val="auto"/>
                <w:szCs w:val="21"/>
                <w:highlight w:val="none"/>
              </w:rPr>
              <w:t>谈判</w:t>
            </w:r>
            <w:r>
              <w:rPr>
                <w:color w:val="auto"/>
                <w:szCs w:val="21"/>
                <w:highlight w:val="none"/>
              </w:rPr>
              <w:t>有效期</w:t>
            </w:r>
          </w:p>
        </w:tc>
        <w:tc>
          <w:tcPr>
            <w:tcW w:w="6095" w:type="dxa"/>
            <w:tcBorders>
              <w:top w:val="single" w:color="auto" w:sz="4" w:space="0"/>
              <w:left w:val="single" w:color="auto" w:sz="4" w:space="0"/>
              <w:bottom w:val="single" w:color="auto" w:sz="4" w:space="0"/>
              <w:right w:val="single" w:color="auto" w:sz="4" w:space="0"/>
            </w:tcBorders>
            <w:vAlign w:val="center"/>
          </w:tcPr>
          <w:p w14:paraId="4EE4C9A8">
            <w:pPr>
              <w:rPr>
                <w:color w:val="auto"/>
                <w:szCs w:val="21"/>
                <w:highlight w:val="none"/>
              </w:rPr>
            </w:pPr>
            <w:r>
              <w:rPr>
                <w:rFonts w:hint="eastAsia" w:ascii="宋体" w:hAnsi="宋体" w:cs="宋体"/>
                <w:color w:val="auto"/>
                <w:szCs w:val="21"/>
                <w:highlight w:val="none"/>
              </w:rPr>
              <w:t>谈判有效期：</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90</w:t>
            </w:r>
            <w:r>
              <w:rPr>
                <w:rFonts w:ascii="宋体" w:hAnsi="宋体" w:cs="宋体"/>
                <w:color w:val="auto"/>
                <w:szCs w:val="21"/>
                <w:highlight w:val="none"/>
                <w:u w:val="single"/>
              </w:rPr>
              <w:t xml:space="preserve">  </w:t>
            </w:r>
            <w:r>
              <w:rPr>
                <w:rFonts w:hint="eastAsia" w:ascii="宋体" w:hAnsi="宋体" w:cs="宋体"/>
                <w:color w:val="auto"/>
                <w:szCs w:val="21"/>
                <w:highlight w:val="none"/>
              </w:rPr>
              <w:t>天。</w:t>
            </w:r>
          </w:p>
        </w:tc>
      </w:tr>
      <w:tr w14:paraId="4E5D841A">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14:paraId="0BD422E9">
            <w:pPr>
              <w:jc w:val="center"/>
              <w:rPr>
                <w:color w:val="auto"/>
                <w:szCs w:val="21"/>
                <w:highlight w:val="none"/>
              </w:rPr>
            </w:pPr>
            <w:r>
              <w:rPr>
                <w:color w:val="auto"/>
                <w:szCs w:val="21"/>
                <w:highlight w:val="none"/>
              </w:rPr>
              <w:t>3.</w:t>
            </w:r>
            <w:r>
              <w:rPr>
                <w:rFonts w:hint="eastAsia"/>
                <w:color w:val="auto"/>
                <w:szCs w:val="21"/>
                <w:highlight w:val="none"/>
              </w:rPr>
              <w:t>5</w:t>
            </w:r>
            <w:r>
              <w:rPr>
                <w:color w:val="auto"/>
                <w:szCs w:val="21"/>
                <w:highlight w:val="none"/>
              </w:rPr>
              <w:t>.1</w:t>
            </w:r>
          </w:p>
        </w:tc>
        <w:tc>
          <w:tcPr>
            <w:tcW w:w="1843" w:type="dxa"/>
            <w:tcBorders>
              <w:top w:val="single" w:color="auto" w:sz="4" w:space="0"/>
              <w:left w:val="single" w:color="auto" w:sz="4" w:space="0"/>
              <w:bottom w:val="single" w:color="auto" w:sz="4" w:space="0"/>
              <w:right w:val="single" w:color="auto" w:sz="4" w:space="0"/>
            </w:tcBorders>
            <w:vAlign w:val="center"/>
          </w:tcPr>
          <w:p w14:paraId="11A0409C">
            <w:pPr>
              <w:jc w:val="left"/>
              <w:rPr>
                <w:color w:val="auto"/>
                <w:szCs w:val="21"/>
                <w:highlight w:val="none"/>
              </w:rPr>
            </w:pPr>
            <w:r>
              <w:rPr>
                <w:color w:val="auto"/>
                <w:szCs w:val="21"/>
                <w:highlight w:val="none"/>
              </w:rPr>
              <w:t>谈判保证金</w:t>
            </w:r>
            <w:r>
              <w:rPr>
                <w:rFonts w:hint="eastAsia"/>
                <w:color w:val="auto"/>
                <w:szCs w:val="21"/>
                <w:highlight w:val="none"/>
              </w:rPr>
              <w:t>金额</w:t>
            </w:r>
          </w:p>
        </w:tc>
        <w:tc>
          <w:tcPr>
            <w:tcW w:w="6095" w:type="dxa"/>
            <w:tcBorders>
              <w:top w:val="single" w:color="auto" w:sz="4" w:space="0"/>
              <w:left w:val="single" w:color="auto" w:sz="4" w:space="0"/>
              <w:bottom w:val="single" w:color="auto" w:sz="4" w:space="0"/>
              <w:right w:val="single" w:color="auto" w:sz="4" w:space="0"/>
            </w:tcBorders>
            <w:vAlign w:val="center"/>
          </w:tcPr>
          <w:p w14:paraId="6B29A2FB">
            <w:pPr>
              <w:rPr>
                <w:color w:val="auto"/>
                <w:szCs w:val="21"/>
                <w:highlight w:val="none"/>
              </w:rPr>
            </w:pPr>
            <w:r>
              <w:rPr>
                <w:rFonts w:hint="eastAsia" w:ascii="宋体" w:hAnsi="宋体" w:cs="宋体"/>
                <w:color w:val="auto"/>
                <w:szCs w:val="21"/>
                <w:highlight w:val="none"/>
              </w:rPr>
              <w:t>谈判保证金金额：</w:t>
            </w:r>
            <w:r>
              <w:rPr>
                <w:rFonts w:hint="eastAsia" w:ascii="宋体" w:hAnsi="宋体"/>
                <w:color w:val="auto"/>
                <w:szCs w:val="21"/>
                <w:highlight w:val="none"/>
                <w:u w:val="single"/>
                <w:lang w:val="en-US" w:eastAsia="zh-CN"/>
              </w:rPr>
              <w:t>标包1: 1,200.00元； 标包2: 600.00元</w:t>
            </w:r>
          </w:p>
        </w:tc>
      </w:tr>
      <w:tr w14:paraId="762A00F6">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14:paraId="5CD0CADC">
            <w:pPr>
              <w:jc w:val="center"/>
              <w:rPr>
                <w:color w:val="auto"/>
                <w:szCs w:val="21"/>
                <w:highlight w:val="none"/>
              </w:rPr>
            </w:pPr>
            <w:r>
              <w:rPr>
                <w:rFonts w:hint="eastAsia"/>
                <w:color w:val="auto"/>
                <w:szCs w:val="21"/>
                <w:highlight w:val="none"/>
              </w:rPr>
              <w:t>3.5.2</w:t>
            </w:r>
          </w:p>
        </w:tc>
        <w:tc>
          <w:tcPr>
            <w:tcW w:w="1843" w:type="dxa"/>
            <w:tcBorders>
              <w:top w:val="single" w:color="auto" w:sz="4" w:space="0"/>
              <w:left w:val="single" w:color="auto" w:sz="4" w:space="0"/>
              <w:bottom w:val="single" w:color="auto" w:sz="4" w:space="0"/>
              <w:right w:val="single" w:color="auto" w:sz="4" w:space="0"/>
            </w:tcBorders>
            <w:vAlign w:val="center"/>
          </w:tcPr>
          <w:p w14:paraId="2962E644">
            <w:pPr>
              <w:jc w:val="left"/>
              <w:rPr>
                <w:color w:val="auto"/>
                <w:szCs w:val="21"/>
                <w:highlight w:val="none"/>
              </w:rPr>
            </w:pPr>
            <w:r>
              <w:rPr>
                <w:rFonts w:hint="eastAsia"/>
                <w:color w:val="auto"/>
                <w:szCs w:val="21"/>
                <w:highlight w:val="none"/>
              </w:rPr>
              <w:t>谈判保证金形式</w:t>
            </w:r>
          </w:p>
        </w:tc>
        <w:tc>
          <w:tcPr>
            <w:tcW w:w="6095" w:type="dxa"/>
            <w:tcBorders>
              <w:top w:val="single" w:color="auto" w:sz="4" w:space="0"/>
              <w:left w:val="single" w:color="auto" w:sz="4" w:space="0"/>
              <w:bottom w:val="single" w:color="auto" w:sz="4" w:space="0"/>
              <w:right w:val="single" w:color="auto" w:sz="4" w:space="0"/>
            </w:tcBorders>
            <w:vAlign w:val="center"/>
          </w:tcPr>
          <w:p w14:paraId="358C7B5B">
            <w:pPr>
              <w:rPr>
                <w:color w:val="auto"/>
                <w:szCs w:val="21"/>
                <w:highlight w:val="none"/>
              </w:rPr>
            </w:pPr>
            <w:r>
              <w:rPr>
                <w:color w:val="auto"/>
                <w:szCs w:val="21"/>
                <w:highlight w:val="none"/>
              </w:rPr>
              <w:t>1</w:t>
            </w:r>
            <w:r>
              <w:rPr>
                <w:rFonts w:hint="eastAsia"/>
                <w:color w:val="auto"/>
                <w:szCs w:val="21"/>
                <w:highlight w:val="none"/>
              </w:rPr>
              <w:t>.谈判保证金的形式：银行转账或电汇。</w:t>
            </w:r>
          </w:p>
          <w:p w14:paraId="01536200">
            <w:pPr>
              <w:rPr>
                <w:color w:val="auto"/>
                <w:szCs w:val="21"/>
                <w:highlight w:val="none"/>
              </w:rPr>
            </w:pPr>
            <w:r>
              <w:rPr>
                <w:color w:val="auto"/>
                <w:szCs w:val="21"/>
                <w:highlight w:val="none"/>
              </w:rPr>
              <w:t>2</w:t>
            </w:r>
            <w:r>
              <w:rPr>
                <w:rFonts w:hint="eastAsia"/>
                <w:color w:val="auto"/>
                <w:szCs w:val="21"/>
                <w:highlight w:val="none"/>
              </w:rPr>
              <w:t>.响应文件中须提供谈判保证金缴纳凭证复印件。唱标同时将公开展示谈判保证金凭证。</w:t>
            </w:r>
          </w:p>
          <w:p w14:paraId="55F18E9C">
            <w:pPr>
              <w:rPr>
                <w:color w:val="auto"/>
                <w:szCs w:val="21"/>
                <w:highlight w:val="none"/>
              </w:rPr>
            </w:pPr>
            <w:r>
              <w:rPr>
                <w:rFonts w:hint="eastAsia"/>
                <w:color w:val="auto"/>
                <w:szCs w:val="21"/>
                <w:highlight w:val="none"/>
              </w:rPr>
              <w:t>3.谈判保证金有效期与谈判有效期一致。</w:t>
            </w:r>
          </w:p>
          <w:p w14:paraId="59CA757F">
            <w:pPr>
              <w:rPr>
                <w:color w:val="auto"/>
                <w:szCs w:val="21"/>
                <w:highlight w:val="none"/>
              </w:rPr>
            </w:pPr>
            <w:r>
              <w:rPr>
                <w:rFonts w:hint="eastAsia"/>
                <w:color w:val="auto"/>
                <w:szCs w:val="21"/>
                <w:highlight w:val="none"/>
              </w:rPr>
              <w:t>4.提交谈判保证金</w:t>
            </w:r>
            <w:r>
              <w:rPr>
                <w:rFonts w:hint="eastAsia"/>
                <w:color w:val="auto"/>
                <w:szCs w:val="21"/>
                <w:highlight w:val="none"/>
                <w:lang w:eastAsia="zh-CN"/>
              </w:rPr>
              <w:t>账</w:t>
            </w:r>
            <w:r>
              <w:rPr>
                <w:rFonts w:hint="eastAsia"/>
                <w:color w:val="auto"/>
                <w:szCs w:val="21"/>
                <w:highlight w:val="none"/>
              </w:rPr>
              <w:t>户信息：</w:t>
            </w:r>
          </w:p>
          <w:p w14:paraId="26178EE5">
            <w:pPr>
              <w:rPr>
                <w:rFonts w:hint="eastAsia" w:eastAsia="宋体"/>
                <w:color w:val="auto"/>
                <w:szCs w:val="21"/>
                <w:highlight w:val="none"/>
                <w:lang w:val="en-US" w:eastAsia="zh-CN"/>
              </w:rPr>
            </w:pPr>
            <w:r>
              <w:rPr>
                <w:rFonts w:hint="eastAsia"/>
                <w:color w:val="auto"/>
                <w:szCs w:val="21"/>
                <w:highlight w:val="none"/>
              </w:rPr>
              <w:t>开户名：</w:t>
            </w:r>
            <w:r>
              <w:rPr>
                <w:rFonts w:hint="eastAsia" w:hAnsi="宋体" w:cs="宋体"/>
                <w:color w:val="auto"/>
                <w:kern w:val="2"/>
                <w:szCs w:val="21"/>
                <w:highlight w:val="none"/>
                <w:u w:val="single"/>
                <w:lang w:val="zh-CN"/>
              </w:rPr>
              <w:t>广东政通招标有限公司</w:t>
            </w:r>
          </w:p>
          <w:p w14:paraId="542D82BB">
            <w:pPr>
              <w:rPr>
                <w:rFonts w:hint="eastAsia" w:eastAsia="宋体"/>
                <w:color w:val="auto"/>
                <w:szCs w:val="21"/>
                <w:highlight w:val="none"/>
                <w:lang w:val="en-US" w:eastAsia="zh-CN"/>
              </w:rPr>
            </w:pPr>
            <w:r>
              <w:rPr>
                <w:rFonts w:hint="eastAsia"/>
                <w:color w:val="auto"/>
                <w:szCs w:val="21"/>
                <w:highlight w:val="none"/>
              </w:rPr>
              <w:t>开户银行：</w:t>
            </w:r>
            <w:r>
              <w:rPr>
                <w:rFonts w:hint="eastAsia" w:hAnsi="宋体" w:cs="宋体"/>
                <w:color w:val="auto"/>
                <w:kern w:val="2"/>
                <w:sz w:val="21"/>
                <w:szCs w:val="21"/>
                <w:highlight w:val="none"/>
                <w:u w:val="single"/>
                <w:lang w:eastAsia="zh-CN"/>
              </w:rPr>
              <w:t>广发银行股份有限公司东莞众利路支行</w:t>
            </w:r>
          </w:p>
          <w:p w14:paraId="02B417DD">
            <w:pPr>
              <w:rPr>
                <w:rFonts w:hint="default" w:eastAsia="宋体"/>
                <w:color w:val="auto"/>
                <w:szCs w:val="21"/>
                <w:highlight w:val="none"/>
                <w:lang w:val="en-US" w:eastAsia="zh-CN"/>
              </w:rPr>
            </w:pPr>
            <w:r>
              <w:rPr>
                <w:rFonts w:hint="eastAsia"/>
                <w:color w:val="auto"/>
                <w:szCs w:val="21"/>
                <w:highlight w:val="none"/>
              </w:rPr>
              <w:t>账号：</w:t>
            </w:r>
            <w:r>
              <w:rPr>
                <w:rFonts w:hint="eastAsia"/>
                <w:color w:val="auto"/>
                <w:szCs w:val="21"/>
                <w:highlight w:val="none"/>
                <w:u w:val="single"/>
              </w:rPr>
              <w:t>6232590699051523668</w:t>
            </w:r>
          </w:p>
        </w:tc>
      </w:tr>
      <w:tr w14:paraId="60D290DF">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14:paraId="1ABDB1F4">
            <w:pPr>
              <w:jc w:val="center"/>
              <w:rPr>
                <w:color w:val="auto"/>
                <w:szCs w:val="21"/>
                <w:highlight w:val="none"/>
              </w:rPr>
            </w:pPr>
            <w:r>
              <w:rPr>
                <w:color w:val="auto"/>
                <w:szCs w:val="21"/>
                <w:highlight w:val="none"/>
              </w:rPr>
              <w:t>3.</w:t>
            </w:r>
            <w:r>
              <w:rPr>
                <w:rFonts w:hint="eastAsia"/>
                <w:color w:val="auto"/>
                <w:szCs w:val="21"/>
                <w:highlight w:val="none"/>
              </w:rPr>
              <w:t>6</w:t>
            </w:r>
            <w:r>
              <w:rPr>
                <w:color w:val="auto"/>
                <w:szCs w:val="21"/>
                <w:highlight w:val="none"/>
              </w:rPr>
              <w:t>.</w:t>
            </w:r>
            <w:r>
              <w:rPr>
                <w:rFonts w:hint="eastAsia"/>
                <w:color w:val="auto"/>
                <w:szCs w:val="21"/>
                <w:highlight w:val="none"/>
              </w:rPr>
              <w:t>1</w:t>
            </w:r>
          </w:p>
        </w:tc>
        <w:tc>
          <w:tcPr>
            <w:tcW w:w="1843" w:type="dxa"/>
            <w:tcBorders>
              <w:top w:val="single" w:color="auto" w:sz="4" w:space="0"/>
              <w:left w:val="single" w:color="auto" w:sz="4" w:space="0"/>
              <w:bottom w:val="single" w:color="auto" w:sz="4" w:space="0"/>
              <w:right w:val="single" w:color="auto" w:sz="4" w:space="0"/>
            </w:tcBorders>
            <w:vAlign w:val="center"/>
          </w:tcPr>
          <w:p w14:paraId="67037361">
            <w:pPr>
              <w:jc w:val="left"/>
              <w:rPr>
                <w:color w:val="auto"/>
                <w:szCs w:val="21"/>
                <w:highlight w:val="none"/>
              </w:rPr>
            </w:pPr>
            <w:r>
              <w:rPr>
                <w:color w:val="auto"/>
                <w:szCs w:val="21"/>
                <w:highlight w:val="none"/>
              </w:rPr>
              <w:t>响应文件份数</w:t>
            </w:r>
          </w:p>
        </w:tc>
        <w:tc>
          <w:tcPr>
            <w:tcW w:w="6095" w:type="dxa"/>
            <w:tcBorders>
              <w:top w:val="single" w:color="auto" w:sz="4" w:space="0"/>
              <w:left w:val="single" w:color="auto" w:sz="4" w:space="0"/>
              <w:bottom w:val="single" w:color="auto" w:sz="4" w:space="0"/>
              <w:right w:val="single" w:color="auto" w:sz="4" w:space="0"/>
            </w:tcBorders>
            <w:vAlign w:val="center"/>
          </w:tcPr>
          <w:p w14:paraId="52B1A54A">
            <w:pPr>
              <w:rPr>
                <w:rFonts w:hAnsi="宋体" w:cs="宋体"/>
                <w:b/>
                <w:color w:val="auto"/>
                <w:szCs w:val="21"/>
                <w:highlight w:val="none"/>
              </w:rPr>
            </w:pPr>
            <w:r>
              <w:rPr>
                <w:rFonts w:hint="eastAsia" w:hAnsi="宋体" w:cs="宋体"/>
                <w:b/>
                <w:color w:val="auto"/>
                <w:szCs w:val="21"/>
                <w:highlight w:val="none"/>
              </w:rPr>
              <w:t>正本</w:t>
            </w:r>
            <w:r>
              <w:rPr>
                <w:rFonts w:hint="eastAsia" w:hAnsi="宋体" w:cs="宋体"/>
                <w:b/>
                <w:color w:val="auto"/>
                <w:szCs w:val="21"/>
                <w:highlight w:val="none"/>
                <w:u w:val="single"/>
              </w:rPr>
              <w:t>1</w:t>
            </w:r>
            <w:r>
              <w:rPr>
                <w:rFonts w:hint="eastAsia" w:hAnsi="宋体" w:cs="宋体"/>
                <w:b/>
                <w:color w:val="auto"/>
                <w:szCs w:val="21"/>
                <w:highlight w:val="none"/>
              </w:rPr>
              <w:t>份、副本</w:t>
            </w:r>
            <w:r>
              <w:rPr>
                <w:rFonts w:hint="eastAsia" w:hAnsi="宋体" w:cs="宋体"/>
                <w:b/>
                <w:color w:val="auto"/>
                <w:szCs w:val="21"/>
                <w:highlight w:val="none"/>
                <w:u w:val="single"/>
              </w:rPr>
              <w:t>2</w:t>
            </w:r>
            <w:r>
              <w:rPr>
                <w:rFonts w:hint="eastAsia" w:hAnsi="宋体" w:cs="宋体"/>
                <w:b/>
                <w:color w:val="auto"/>
                <w:szCs w:val="21"/>
                <w:highlight w:val="none"/>
              </w:rPr>
              <w:t>份，唱标信封</w:t>
            </w:r>
            <w:r>
              <w:rPr>
                <w:rFonts w:hint="eastAsia" w:hAnsi="宋体" w:cs="宋体"/>
                <w:b/>
                <w:color w:val="auto"/>
                <w:szCs w:val="21"/>
                <w:highlight w:val="none"/>
                <w:u w:val="single"/>
              </w:rPr>
              <w:t>1</w:t>
            </w:r>
            <w:r>
              <w:rPr>
                <w:rFonts w:hint="eastAsia" w:hAnsi="宋体" w:cs="宋体"/>
                <w:b/>
                <w:color w:val="auto"/>
                <w:szCs w:val="21"/>
                <w:highlight w:val="none"/>
              </w:rPr>
              <w:t>份。</w:t>
            </w:r>
            <w:r>
              <w:rPr>
                <w:rFonts w:hint="eastAsia" w:hAnsi="宋体" w:cs="宋体"/>
                <w:b/>
                <w:color w:val="auto"/>
                <w:szCs w:val="21"/>
                <w:highlight w:val="none"/>
              </w:rPr>
              <w:br w:type="textWrapping"/>
            </w:r>
            <w:r>
              <w:rPr>
                <w:rFonts w:hint="eastAsia" w:ascii="宋体" w:hAnsi="宋体" w:eastAsia="宋体" w:cs="宋体"/>
                <w:b/>
                <w:color w:val="auto"/>
                <w:szCs w:val="21"/>
                <w:highlight w:val="none"/>
              </w:rPr>
              <w:t>供应商参与多个</w:t>
            </w:r>
            <w:r>
              <w:rPr>
                <w:rFonts w:hint="eastAsia" w:ascii="宋体" w:hAnsi="宋体" w:cs="宋体"/>
                <w:b/>
                <w:color w:val="auto"/>
                <w:szCs w:val="21"/>
                <w:highlight w:val="none"/>
                <w:lang w:val="en-US" w:eastAsia="zh-CN"/>
              </w:rPr>
              <w:t>标包</w:t>
            </w:r>
            <w:r>
              <w:rPr>
                <w:rFonts w:hint="eastAsia" w:ascii="宋体" w:hAnsi="宋体" w:eastAsia="宋体" w:cs="宋体"/>
                <w:b/>
                <w:color w:val="auto"/>
                <w:szCs w:val="21"/>
                <w:highlight w:val="none"/>
              </w:rPr>
              <w:t>响应的，须按</w:t>
            </w:r>
            <w:r>
              <w:rPr>
                <w:rFonts w:hint="eastAsia" w:ascii="宋体" w:hAnsi="宋体" w:cs="宋体"/>
                <w:b/>
                <w:color w:val="auto"/>
                <w:szCs w:val="21"/>
                <w:highlight w:val="none"/>
                <w:lang w:val="en-US" w:eastAsia="zh-CN"/>
              </w:rPr>
              <w:t>标包</w:t>
            </w:r>
            <w:r>
              <w:rPr>
                <w:rFonts w:hint="eastAsia" w:ascii="宋体" w:hAnsi="宋体" w:eastAsia="宋体" w:cs="宋体"/>
                <w:b/>
                <w:color w:val="auto"/>
                <w:szCs w:val="21"/>
                <w:highlight w:val="none"/>
              </w:rPr>
              <w:t>号分别提交</w:t>
            </w:r>
            <w:r>
              <w:rPr>
                <w:rFonts w:hint="eastAsia" w:ascii="宋体" w:hAnsi="宋体" w:cs="宋体"/>
                <w:b/>
                <w:color w:val="auto"/>
                <w:szCs w:val="21"/>
                <w:highlight w:val="none"/>
                <w:lang w:val="en-US" w:eastAsia="zh-CN"/>
              </w:rPr>
              <w:t>响应文件</w:t>
            </w:r>
            <w:r>
              <w:rPr>
                <w:rFonts w:hint="eastAsia" w:ascii="宋体" w:hAnsi="宋体" w:eastAsia="宋体" w:cs="宋体"/>
                <w:b/>
                <w:color w:val="auto"/>
                <w:szCs w:val="21"/>
                <w:highlight w:val="none"/>
              </w:rPr>
              <w:t>。</w:t>
            </w:r>
          </w:p>
        </w:tc>
      </w:tr>
      <w:tr w14:paraId="746CBFE0">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14:paraId="79B44086">
            <w:pPr>
              <w:jc w:val="center"/>
              <w:rPr>
                <w:color w:val="auto"/>
                <w:szCs w:val="21"/>
                <w:highlight w:val="none"/>
              </w:rPr>
            </w:pPr>
            <w:r>
              <w:rPr>
                <w:color w:val="auto"/>
                <w:szCs w:val="21"/>
                <w:highlight w:val="none"/>
              </w:rPr>
              <w:t>3.</w:t>
            </w:r>
            <w:r>
              <w:rPr>
                <w:rFonts w:hint="eastAsia"/>
                <w:color w:val="auto"/>
                <w:szCs w:val="21"/>
                <w:highlight w:val="none"/>
              </w:rPr>
              <w:t>6</w:t>
            </w:r>
            <w:r>
              <w:rPr>
                <w:color w:val="auto"/>
                <w:szCs w:val="21"/>
                <w:highlight w:val="none"/>
              </w:rPr>
              <w:t>.</w:t>
            </w:r>
            <w:r>
              <w:rPr>
                <w:rFonts w:hint="eastAsia"/>
                <w:color w:val="auto"/>
                <w:szCs w:val="21"/>
                <w:highlight w:val="none"/>
              </w:rPr>
              <w:t>6</w:t>
            </w:r>
          </w:p>
        </w:tc>
        <w:tc>
          <w:tcPr>
            <w:tcW w:w="1843" w:type="dxa"/>
            <w:tcBorders>
              <w:top w:val="single" w:color="auto" w:sz="4" w:space="0"/>
              <w:left w:val="single" w:color="auto" w:sz="4" w:space="0"/>
              <w:bottom w:val="single" w:color="auto" w:sz="4" w:space="0"/>
              <w:right w:val="single" w:color="auto" w:sz="4" w:space="0"/>
            </w:tcBorders>
            <w:vAlign w:val="center"/>
          </w:tcPr>
          <w:p w14:paraId="5FFBF2CF">
            <w:pPr>
              <w:jc w:val="left"/>
              <w:rPr>
                <w:rFonts w:ascii="宋体" w:hAnsi="宋体" w:cs="宋体"/>
                <w:color w:val="auto"/>
                <w:szCs w:val="21"/>
                <w:highlight w:val="none"/>
              </w:rPr>
            </w:pPr>
            <w:r>
              <w:rPr>
                <w:rFonts w:hint="eastAsia" w:ascii="宋体" w:hAnsi="宋体" w:cs="宋体"/>
                <w:color w:val="auto"/>
                <w:szCs w:val="21"/>
                <w:highlight w:val="none"/>
              </w:rPr>
              <w:t>响应文件的密封和标记要求</w:t>
            </w:r>
          </w:p>
        </w:tc>
        <w:tc>
          <w:tcPr>
            <w:tcW w:w="6095" w:type="dxa"/>
            <w:tcBorders>
              <w:top w:val="single" w:color="auto" w:sz="4" w:space="0"/>
              <w:left w:val="single" w:color="auto" w:sz="4" w:space="0"/>
              <w:bottom w:val="single" w:color="auto" w:sz="4" w:space="0"/>
              <w:right w:val="single" w:color="auto" w:sz="4" w:space="0"/>
            </w:tcBorders>
            <w:vAlign w:val="center"/>
          </w:tcPr>
          <w:p w14:paraId="3B9D1FCD">
            <w:pPr>
              <w:autoSpaceDE w:val="0"/>
              <w:autoSpaceDN w:val="0"/>
              <w:rPr>
                <w:rFonts w:ascii="宋体" w:hAnsi="宋体" w:cs="宋体"/>
                <w:color w:val="auto"/>
                <w:szCs w:val="21"/>
                <w:highlight w:val="none"/>
              </w:rPr>
            </w:pPr>
            <w:r>
              <w:rPr>
                <w:rFonts w:hint="eastAsia" w:ascii="宋体" w:hAnsi="宋体" w:cs="宋体"/>
                <w:color w:val="auto"/>
                <w:szCs w:val="21"/>
                <w:highlight w:val="none"/>
              </w:rPr>
              <w:t>本条款增加规定：</w:t>
            </w:r>
          </w:p>
          <w:p w14:paraId="585705F5">
            <w:pPr>
              <w:rPr>
                <w:rFonts w:ascii="宋体" w:hAnsi="宋体" w:cs="宋体"/>
                <w:color w:val="auto"/>
                <w:szCs w:val="21"/>
                <w:highlight w:val="none"/>
              </w:rPr>
            </w:pPr>
            <w:r>
              <w:rPr>
                <w:rFonts w:hint="eastAsia" w:ascii="宋体" w:hAnsi="宋体" w:cs="宋体"/>
                <w:color w:val="auto"/>
                <w:szCs w:val="21"/>
                <w:highlight w:val="none"/>
              </w:rPr>
              <w:t>1）商务技术响应文件、经济响应文件应分别装订，密封后，加贴封条，在封口处加盖骑缝章</w:t>
            </w:r>
            <w:r>
              <w:rPr>
                <w:rFonts w:hint="eastAsia"/>
                <w:color w:val="auto"/>
                <w:szCs w:val="21"/>
                <w:highlight w:val="none"/>
              </w:rPr>
              <w:t>或者由响应人的法定代表人或其委托代理人签字</w:t>
            </w:r>
            <w:r>
              <w:rPr>
                <w:rFonts w:hint="eastAsia" w:ascii="宋体" w:hAnsi="宋体" w:cs="宋体"/>
                <w:color w:val="auto"/>
                <w:szCs w:val="21"/>
                <w:highlight w:val="none"/>
              </w:rPr>
              <w:t>。</w:t>
            </w:r>
          </w:p>
          <w:p w14:paraId="4B2BC20F">
            <w:pPr>
              <w:rPr>
                <w:rFonts w:ascii="宋体" w:hAnsi="宋体" w:cs="宋体"/>
                <w:color w:val="auto"/>
                <w:szCs w:val="21"/>
                <w:highlight w:val="none"/>
              </w:rPr>
            </w:pPr>
            <w:r>
              <w:rPr>
                <w:rFonts w:hint="eastAsia" w:ascii="宋体" w:hAnsi="宋体" w:cs="宋体"/>
                <w:color w:val="auto"/>
                <w:szCs w:val="21"/>
                <w:highlight w:val="none"/>
              </w:rPr>
              <w:t>2）商务技术竞争性谈判响应文件里不能含有任何有关谈判报价信息。</w:t>
            </w:r>
          </w:p>
          <w:p w14:paraId="2D69B272">
            <w:pPr>
              <w:rPr>
                <w:rFonts w:ascii="宋体" w:hAnsi="宋体" w:cs="宋体"/>
                <w:color w:val="auto"/>
                <w:szCs w:val="21"/>
                <w:highlight w:val="none"/>
              </w:rPr>
            </w:pPr>
            <w:r>
              <w:rPr>
                <w:rFonts w:hint="eastAsia" w:ascii="宋体" w:hAnsi="宋体" w:cs="宋体"/>
                <w:color w:val="auto"/>
                <w:szCs w:val="21"/>
                <w:highlight w:val="none"/>
              </w:rPr>
              <w:t>3）响应文件</w:t>
            </w:r>
            <w:r>
              <w:rPr>
                <w:rFonts w:hint="eastAsia"/>
                <w:color w:val="auto"/>
                <w:szCs w:val="21"/>
                <w:highlight w:val="none"/>
              </w:rPr>
              <w:t>外层包封</w:t>
            </w:r>
            <w:r>
              <w:rPr>
                <w:rFonts w:hint="eastAsia" w:ascii="宋体" w:hAnsi="宋体" w:cs="宋体"/>
                <w:color w:val="auto"/>
                <w:szCs w:val="21"/>
                <w:highlight w:val="none"/>
              </w:rPr>
              <w:t>上应写明的内容如下：</w:t>
            </w:r>
          </w:p>
          <w:p w14:paraId="1B369E33">
            <w:pPr>
              <w:rPr>
                <w:rFonts w:ascii="宋体" w:hAnsi="宋体"/>
                <w:b/>
                <w:color w:val="auto"/>
                <w:szCs w:val="21"/>
                <w:highlight w:val="none"/>
              </w:rPr>
            </w:pPr>
            <w:r>
              <w:rPr>
                <w:rFonts w:hint="eastAsia" w:ascii="宋体" w:hAnsi="宋体"/>
                <w:b/>
                <w:color w:val="auto"/>
                <w:szCs w:val="21"/>
                <w:highlight w:val="none"/>
              </w:rPr>
              <w:t xml:space="preserve">采购人名称： </w:t>
            </w:r>
          </w:p>
          <w:p w14:paraId="64F0059D">
            <w:pPr>
              <w:rPr>
                <w:rFonts w:ascii="宋体" w:hAnsi="宋体"/>
                <w:b/>
                <w:color w:val="auto"/>
                <w:szCs w:val="21"/>
                <w:highlight w:val="none"/>
              </w:rPr>
            </w:pPr>
            <w:r>
              <w:rPr>
                <w:rFonts w:hint="eastAsia" w:ascii="宋体" w:hAnsi="宋体"/>
                <w:b/>
                <w:color w:val="auto"/>
                <w:szCs w:val="21"/>
                <w:highlight w:val="none"/>
              </w:rPr>
              <w:t>采购代理机构名称：</w:t>
            </w:r>
          </w:p>
          <w:p w14:paraId="453B766C">
            <w:pPr>
              <w:rPr>
                <w:rFonts w:ascii="宋体" w:hAnsi="宋体"/>
                <w:b/>
                <w:color w:val="auto"/>
                <w:szCs w:val="21"/>
                <w:highlight w:val="none"/>
              </w:rPr>
            </w:pPr>
            <w:r>
              <w:rPr>
                <w:rFonts w:hint="eastAsia" w:ascii="宋体" w:hAnsi="宋体"/>
                <w:b/>
                <w:color w:val="auto"/>
                <w:szCs w:val="21"/>
                <w:highlight w:val="none"/>
              </w:rPr>
              <w:t>递交响应文件地址：</w:t>
            </w:r>
          </w:p>
          <w:p w14:paraId="26FB7971">
            <w:pPr>
              <w:rPr>
                <w:rFonts w:ascii="宋体" w:hAnsi="宋体"/>
                <w:b/>
                <w:color w:val="auto"/>
                <w:szCs w:val="21"/>
                <w:highlight w:val="none"/>
              </w:rPr>
            </w:pPr>
            <w:r>
              <w:rPr>
                <w:rFonts w:hint="eastAsia" w:ascii="宋体" w:hAnsi="宋体"/>
                <w:b/>
                <w:color w:val="auto"/>
                <w:szCs w:val="21"/>
                <w:highlight w:val="none"/>
                <w:u w:val="single"/>
              </w:rPr>
              <w:t xml:space="preserve">            </w:t>
            </w:r>
            <w:r>
              <w:rPr>
                <w:rFonts w:hint="eastAsia" w:ascii="宋体" w:hAnsi="宋体"/>
                <w:b/>
                <w:color w:val="auto"/>
                <w:szCs w:val="21"/>
                <w:highlight w:val="none"/>
              </w:rPr>
              <w:t>（项目名称）响应文件</w:t>
            </w:r>
          </w:p>
          <w:p w14:paraId="30DFB89D">
            <w:pPr>
              <w:rPr>
                <w:rFonts w:hint="default" w:ascii="宋体" w:hAnsi="宋体" w:eastAsia="宋体"/>
                <w:b/>
                <w:color w:val="auto"/>
                <w:szCs w:val="21"/>
                <w:highlight w:val="none"/>
                <w:lang w:val="en-US" w:eastAsia="zh-CN"/>
              </w:rPr>
            </w:pPr>
            <w:r>
              <w:rPr>
                <w:rFonts w:hint="eastAsia" w:ascii="宋体" w:hAnsi="宋体"/>
                <w:b/>
                <w:color w:val="auto"/>
                <w:szCs w:val="21"/>
                <w:highlight w:val="none"/>
                <w:lang w:val="en-US" w:eastAsia="zh-CN"/>
              </w:rPr>
              <w:t>标包：</w:t>
            </w:r>
          </w:p>
          <w:p w14:paraId="51293359">
            <w:pPr>
              <w:rPr>
                <w:rFonts w:ascii="宋体" w:hAnsi="宋体"/>
                <w:b/>
                <w:color w:val="auto"/>
                <w:szCs w:val="21"/>
                <w:highlight w:val="none"/>
              </w:rPr>
            </w:pPr>
            <w:r>
              <w:rPr>
                <w:rFonts w:hint="eastAsia" w:ascii="宋体" w:hAnsi="宋体"/>
                <w:b/>
                <w:color w:val="auto"/>
                <w:szCs w:val="21"/>
                <w:highlight w:val="none"/>
              </w:rPr>
              <w:t>响应人名称：</w:t>
            </w:r>
          </w:p>
          <w:p w14:paraId="507CDBE8">
            <w:pPr>
              <w:rPr>
                <w:rFonts w:ascii="宋体" w:hAnsi="宋体"/>
                <w:b/>
                <w:color w:val="auto"/>
                <w:szCs w:val="21"/>
                <w:highlight w:val="none"/>
              </w:rPr>
            </w:pPr>
            <w:r>
              <w:rPr>
                <w:rFonts w:hint="eastAsia" w:ascii="宋体" w:hAnsi="宋体"/>
                <w:b/>
                <w:color w:val="auto"/>
                <w:szCs w:val="21"/>
                <w:highlight w:val="none"/>
              </w:rPr>
              <w:t>联系人：</w:t>
            </w:r>
          </w:p>
          <w:p w14:paraId="6589E39A">
            <w:pPr>
              <w:rPr>
                <w:rFonts w:ascii="宋体" w:hAnsi="宋体"/>
                <w:b/>
                <w:color w:val="auto"/>
                <w:szCs w:val="21"/>
                <w:highlight w:val="none"/>
              </w:rPr>
            </w:pPr>
            <w:r>
              <w:rPr>
                <w:rFonts w:hint="eastAsia" w:ascii="宋体" w:hAnsi="宋体"/>
                <w:b/>
                <w:color w:val="auto"/>
                <w:szCs w:val="21"/>
                <w:highlight w:val="none"/>
              </w:rPr>
              <w:t>联系方式：</w:t>
            </w:r>
          </w:p>
          <w:p w14:paraId="66646663">
            <w:pPr>
              <w:rPr>
                <w:color w:val="auto"/>
                <w:szCs w:val="21"/>
                <w:highlight w:val="none"/>
              </w:rPr>
            </w:pPr>
            <w:r>
              <w:rPr>
                <w:rFonts w:hint="eastAsia" w:ascii="宋体" w:hAnsi="宋体"/>
                <w:b/>
                <w:color w:val="auto"/>
                <w:szCs w:val="21"/>
                <w:highlight w:val="none"/>
              </w:rPr>
              <w:t>在</w:t>
            </w:r>
            <w:r>
              <w:rPr>
                <w:rFonts w:hint="eastAsia" w:ascii="宋体" w:hAnsi="宋体"/>
                <w:b/>
                <w:color w:val="auto"/>
                <w:szCs w:val="21"/>
                <w:highlight w:val="none"/>
                <w:u w:val="single"/>
              </w:rPr>
              <w:t xml:space="preserve">  </w:t>
            </w:r>
            <w:r>
              <w:rPr>
                <w:rFonts w:hint="eastAsia" w:ascii="宋体" w:hAnsi="宋体"/>
                <w:b/>
                <w:color w:val="auto"/>
                <w:szCs w:val="21"/>
                <w:highlight w:val="none"/>
              </w:rPr>
              <w:t>年</w:t>
            </w:r>
            <w:r>
              <w:rPr>
                <w:rFonts w:hint="eastAsia" w:ascii="宋体" w:hAnsi="宋体"/>
                <w:b/>
                <w:color w:val="auto"/>
                <w:szCs w:val="21"/>
                <w:highlight w:val="none"/>
                <w:u w:val="single"/>
              </w:rPr>
              <w:t xml:space="preserve">  </w:t>
            </w:r>
            <w:r>
              <w:rPr>
                <w:rFonts w:hint="eastAsia" w:ascii="宋体" w:hAnsi="宋体"/>
                <w:b/>
                <w:color w:val="auto"/>
                <w:szCs w:val="21"/>
                <w:highlight w:val="none"/>
              </w:rPr>
              <w:t>月</w:t>
            </w:r>
            <w:r>
              <w:rPr>
                <w:rFonts w:hint="eastAsia" w:ascii="宋体" w:hAnsi="宋体"/>
                <w:b/>
                <w:color w:val="auto"/>
                <w:szCs w:val="21"/>
                <w:highlight w:val="none"/>
                <w:u w:val="single"/>
              </w:rPr>
              <w:t xml:space="preserve">  </w:t>
            </w:r>
            <w:r>
              <w:rPr>
                <w:rFonts w:hint="eastAsia" w:ascii="宋体" w:hAnsi="宋体"/>
                <w:b/>
                <w:color w:val="auto"/>
                <w:szCs w:val="21"/>
                <w:highlight w:val="none"/>
              </w:rPr>
              <w:t>日</w:t>
            </w:r>
            <w:r>
              <w:rPr>
                <w:rFonts w:hint="eastAsia" w:ascii="宋体" w:hAnsi="宋体"/>
                <w:b/>
                <w:color w:val="auto"/>
                <w:szCs w:val="21"/>
                <w:highlight w:val="none"/>
                <w:u w:val="single"/>
              </w:rPr>
              <w:t xml:space="preserve">  </w:t>
            </w:r>
            <w:r>
              <w:rPr>
                <w:rFonts w:hint="eastAsia" w:ascii="宋体" w:hAnsi="宋体"/>
                <w:b/>
                <w:color w:val="auto"/>
                <w:szCs w:val="21"/>
                <w:highlight w:val="none"/>
              </w:rPr>
              <w:t>时</w:t>
            </w:r>
            <w:r>
              <w:rPr>
                <w:rFonts w:hint="eastAsia" w:ascii="宋体" w:hAnsi="宋体"/>
                <w:b/>
                <w:color w:val="auto"/>
                <w:szCs w:val="21"/>
                <w:highlight w:val="none"/>
                <w:u w:val="single"/>
              </w:rPr>
              <w:t xml:space="preserve">  </w:t>
            </w:r>
            <w:r>
              <w:rPr>
                <w:rFonts w:hint="eastAsia" w:ascii="宋体" w:hAnsi="宋体"/>
                <w:b/>
                <w:color w:val="auto"/>
                <w:szCs w:val="21"/>
                <w:highlight w:val="none"/>
              </w:rPr>
              <w:t>分前不得开启</w:t>
            </w:r>
          </w:p>
        </w:tc>
      </w:tr>
      <w:tr w14:paraId="2BC7A539">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14:paraId="0B006EAF">
            <w:pPr>
              <w:jc w:val="center"/>
              <w:rPr>
                <w:color w:val="auto"/>
                <w:szCs w:val="21"/>
                <w:highlight w:val="none"/>
              </w:rPr>
            </w:pPr>
            <w:r>
              <w:rPr>
                <w:rFonts w:hint="eastAsia"/>
                <w:color w:val="auto"/>
                <w:szCs w:val="21"/>
                <w:highlight w:val="none"/>
              </w:rPr>
              <w:t>4.1.1</w:t>
            </w:r>
          </w:p>
        </w:tc>
        <w:tc>
          <w:tcPr>
            <w:tcW w:w="1843" w:type="dxa"/>
            <w:tcBorders>
              <w:top w:val="single" w:color="auto" w:sz="4" w:space="0"/>
              <w:left w:val="single" w:color="auto" w:sz="4" w:space="0"/>
              <w:bottom w:val="single" w:color="auto" w:sz="4" w:space="0"/>
              <w:right w:val="single" w:color="auto" w:sz="4" w:space="0"/>
            </w:tcBorders>
            <w:vAlign w:val="center"/>
          </w:tcPr>
          <w:p w14:paraId="339E6C44">
            <w:pPr>
              <w:jc w:val="left"/>
              <w:rPr>
                <w:color w:val="auto"/>
                <w:szCs w:val="21"/>
                <w:highlight w:val="none"/>
              </w:rPr>
            </w:pPr>
            <w:r>
              <w:rPr>
                <w:rFonts w:hint="eastAsia" w:hAnsi="宋体"/>
                <w:color w:val="auto"/>
                <w:szCs w:val="21"/>
                <w:highlight w:val="none"/>
              </w:rPr>
              <w:t>响应文件递交截止时间</w:t>
            </w:r>
          </w:p>
        </w:tc>
        <w:tc>
          <w:tcPr>
            <w:tcW w:w="6095" w:type="dxa"/>
            <w:tcBorders>
              <w:top w:val="single" w:color="auto" w:sz="4" w:space="0"/>
              <w:left w:val="single" w:color="auto" w:sz="4" w:space="0"/>
              <w:bottom w:val="single" w:color="auto" w:sz="4" w:space="0"/>
              <w:right w:val="single" w:color="auto" w:sz="4" w:space="0"/>
            </w:tcBorders>
            <w:vAlign w:val="center"/>
          </w:tcPr>
          <w:p w14:paraId="029C0AEE">
            <w:pPr>
              <w:pStyle w:val="70"/>
              <w:ind w:firstLine="0" w:firstLineChars="0"/>
              <w:rPr>
                <w:rFonts w:hAnsi="宋体"/>
                <w:color w:val="auto"/>
                <w:szCs w:val="21"/>
                <w:highlight w:val="none"/>
              </w:rPr>
            </w:pPr>
            <w:r>
              <w:rPr>
                <w:rFonts w:hint="eastAsia" w:ascii="宋体" w:hAnsi="宋体" w:cs="宋体"/>
                <w:color w:val="auto"/>
                <w:szCs w:val="21"/>
                <w:highlight w:val="none"/>
              </w:rPr>
              <w:t>详见竞争性谈判公告</w:t>
            </w:r>
          </w:p>
        </w:tc>
      </w:tr>
      <w:tr w14:paraId="429B33E3">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14:paraId="1AB0C870">
            <w:pPr>
              <w:jc w:val="center"/>
              <w:rPr>
                <w:color w:val="auto"/>
                <w:szCs w:val="21"/>
                <w:highlight w:val="none"/>
              </w:rPr>
            </w:pPr>
            <w:r>
              <w:rPr>
                <w:rFonts w:hint="eastAsia"/>
                <w:color w:val="auto"/>
                <w:szCs w:val="21"/>
                <w:highlight w:val="none"/>
              </w:rPr>
              <w:t>4.1.2</w:t>
            </w:r>
          </w:p>
        </w:tc>
        <w:tc>
          <w:tcPr>
            <w:tcW w:w="1843" w:type="dxa"/>
            <w:tcBorders>
              <w:top w:val="single" w:color="auto" w:sz="4" w:space="0"/>
              <w:left w:val="single" w:color="auto" w:sz="4" w:space="0"/>
              <w:bottom w:val="single" w:color="auto" w:sz="4" w:space="0"/>
              <w:right w:val="single" w:color="auto" w:sz="4" w:space="0"/>
            </w:tcBorders>
            <w:vAlign w:val="center"/>
          </w:tcPr>
          <w:p w14:paraId="5CB90D49">
            <w:pPr>
              <w:jc w:val="left"/>
              <w:rPr>
                <w:rFonts w:hAnsi="宋体"/>
                <w:color w:val="auto"/>
                <w:szCs w:val="21"/>
                <w:highlight w:val="none"/>
              </w:rPr>
            </w:pPr>
            <w:r>
              <w:rPr>
                <w:rFonts w:hint="eastAsia" w:hAnsi="宋体"/>
                <w:color w:val="auto"/>
                <w:szCs w:val="21"/>
                <w:highlight w:val="none"/>
              </w:rPr>
              <w:t>响应文件递交地点</w:t>
            </w:r>
          </w:p>
        </w:tc>
        <w:tc>
          <w:tcPr>
            <w:tcW w:w="6095" w:type="dxa"/>
            <w:tcBorders>
              <w:top w:val="single" w:color="auto" w:sz="4" w:space="0"/>
              <w:left w:val="single" w:color="auto" w:sz="4" w:space="0"/>
              <w:bottom w:val="single" w:color="auto" w:sz="4" w:space="0"/>
              <w:right w:val="single" w:color="auto" w:sz="4" w:space="0"/>
            </w:tcBorders>
            <w:vAlign w:val="center"/>
          </w:tcPr>
          <w:p w14:paraId="241769F1">
            <w:pPr>
              <w:pStyle w:val="70"/>
              <w:ind w:firstLine="0" w:firstLineChars="0"/>
              <w:rPr>
                <w:rFonts w:ascii="宋体" w:hAnsi="宋体" w:cs="宋体"/>
                <w:color w:val="auto"/>
                <w:szCs w:val="21"/>
                <w:highlight w:val="none"/>
                <w:u w:val="single"/>
              </w:rPr>
            </w:pPr>
            <w:r>
              <w:rPr>
                <w:rFonts w:hint="eastAsia" w:ascii="宋体" w:hAnsi="宋体" w:cs="宋体"/>
                <w:color w:val="auto"/>
                <w:szCs w:val="21"/>
                <w:highlight w:val="none"/>
              </w:rPr>
              <w:t>详见竞争性谈判公告</w:t>
            </w:r>
          </w:p>
        </w:tc>
      </w:tr>
      <w:tr w14:paraId="0F40B8E6">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14:paraId="256063EE">
            <w:pPr>
              <w:jc w:val="center"/>
              <w:rPr>
                <w:color w:val="auto"/>
                <w:szCs w:val="21"/>
                <w:highlight w:val="none"/>
              </w:rPr>
            </w:pPr>
            <w:r>
              <w:rPr>
                <w:rFonts w:hint="eastAsia"/>
                <w:color w:val="auto"/>
                <w:szCs w:val="21"/>
                <w:highlight w:val="none"/>
              </w:rPr>
              <w:t>4.1.4</w:t>
            </w:r>
          </w:p>
        </w:tc>
        <w:tc>
          <w:tcPr>
            <w:tcW w:w="1843" w:type="dxa"/>
            <w:tcBorders>
              <w:top w:val="single" w:color="auto" w:sz="4" w:space="0"/>
              <w:left w:val="single" w:color="auto" w:sz="4" w:space="0"/>
              <w:bottom w:val="single" w:color="auto" w:sz="4" w:space="0"/>
              <w:right w:val="single" w:color="auto" w:sz="4" w:space="0"/>
            </w:tcBorders>
            <w:vAlign w:val="center"/>
          </w:tcPr>
          <w:p w14:paraId="3E31D1E1">
            <w:pPr>
              <w:jc w:val="left"/>
              <w:rPr>
                <w:rFonts w:hAnsi="宋体"/>
                <w:color w:val="auto"/>
                <w:szCs w:val="21"/>
                <w:highlight w:val="none"/>
              </w:rPr>
            </w:pPr>
            <w:r>
              <w:rPr>
                <w:rFonts w:hint="eastAsia" w:hAnsi="宋体"/>
                <w:color w:val="auto"/>
                <w:szCs w:val="21"/>
                <w:highlight w:val="none"/>
              </w:rPr>
              <w:t>响应文件退还</w:t>
            </w:r>
          </w:p>
        </w:tc>
        <w:tc>
          <w:tcPr>
            <w:tcW w:w="6095" w:type="dxa"/>
            <w:tcBorders>
              <w:top w:val="single" w:color="auto" w:sz="4" w:space="0"/>
              <w:left w:val="single" w:color="auto" w:sz="4" w:space="0"/>
              <w:bottom w:val="single" w:color="auto" w:sz="4" w:space="0"/>
              <w:right w:val="single" w:color="auto" w:sz="4" w:space="0"/>
            </w:tcBorders>
            <w:vAlign w:val="center"/>
          </w:tcPr>
          <w:p w14:paraId="73AD58A3">
            <w:pPr>
              <w:autoSpaceDE w:val="0"/>
              <w:autoSpaceDN w:val="0"/>
              <w:rPr>
                <w:rFonts w:ascii="宋体" w:hAnsi="宋体" w:cs="宋体"/>
                <w:color w:val="auto"/>
                <w:szCs w:val="21"/>
                <w:highlight w:val="none"/>
                <w:u w:val="single"/>
              </w:rPr>
            </w:pPr>
            <w:r>
              <w:rPr>
                <w:rFonts w:hint="eastAsia" w:ascii="宋体" w:hAnsi="宋体" w:cs="宋体"/>
                <w:color w:val="auto"/>
                <w:szCs w:val="21"/>
                <w:highlight w:val="none"/>
              </w:rPr>
              <w:t>不退还</w:t>
            </w:r>
          </w:p>
        </w:tc>
      </w:tr>
      <w:tr w14:paraId="6F3C4431">
        <w:tblPrEx>
          <w:tblCellMar>
            <w:top w:w="0" w:type="dxa"/>
            <w:left w:w="108" w:type="dxa"/>
            <w:bottom w:w="0" w:type="dxa"/>
            <w:right w:w="108" w:type="dxa"/>
          </w:tblCellMar>
        </w:tblPrEx>
        <w:trPr>
          <w:trHeight w:val="880" w:hRule="atLeast"/>
        </w:trPr>
        <w:tc>
          <w:tcPr>
            <w:tcW w:w="993" w:type="dxa"/>
            <w:tcBorders>
              <w:top w:val="single" w:color="auto" w:sz="4" w:space="0"/>
              <w:left w:val="single" w:color="auto" w:sz="4" w:space="0"/>
              <w:right w:val="single" w:color="auto" w:sz="4" w:space="0"/>
            </w:tcBorders>
            <w:vAlign w:val="center"/>
          </w:tcPr>
          <w:p w14:paraId="09A880B6">
            <w:pPr>
              <w:jc w:val="center"/>
              <w:rPr>
                <w:color w:val="auto"/>
                <w:szCs w:val="21"/>
                <w:highlight w:val="none"/>
              </w:rPr>
            </w:pPr>
            <w:r>
              <w:rPr>
                <w:color w:val="auto"/>
                <w:szCs w:val="21"/>
                <w:highlight w:val="none"/>
              </w:rPr>
              <w:t>5.1</w:t>
            </w:r>
          </w:p>
        </w:tc>
        <w:tc>
          <w:tcPr>
            <w:tcW w:w="1843" w:type="dxa"/>
            <w:tcBorders>
              <w:top w:val="single" w:color="auto" w:sz="4" w:space="0"/>
              <w:left w:val="single" w:color="auto" w:sz="4" w:space="0"/>
              <w:right w:val="single" w:color="auto" w:sz="4" w:space="0"/>
            </w:tcBorders>
            <w:vAlign w:val="center"/>
          </w:tcPr>
          <w:p w14:paraId="5F61D10E">
            <w:pPr>
              <w:jc w:val="left"/>
              <w:rPr>
                <w:color w:val="auto"/>
                <w:szCs w:val="21"/>
                <w:highlight w:val="none"/>
              </w:rPr>
            </w:pPr>
            <w:r>
              <w:rPr>
                <w:rFonts w:hint="eastAsia"/>
                <w:color w:val="auto"/>
                <w:szCs w:val="21"/>
                <w:highlight w:val="none"/>
              </w:rPr>
              <w:t>唱标时间和地点</w:t>
            </w:r>
          </w:p>
        </w:tc>
        <w:tc>
          <w:tcPr>
            <w:tcW w:w="6095" w:type="dxa"/>
            <w:tcBorders>
              <w:top w:val="single" w:color="auto" w:sz="4" w:space="0"/>
              <w:left w:val="single" w:color="auto" w:sz="4" w:space="0"/>
              <w:right w:val="single" w:color="auto" w:sz="4" w:space="0"/>
            </w:tcBorders>
            <w:vAlign w:val="center"/>
          </w:tcPr>
          <w:p w14:paraId="74CC8A17">
            <w:pPr>
              <w:rPr>
                <w:color w:val="auto"/>
                <w:szCs w:val="21"/>
                <w:highlight w:val="none"/>
              </w:rPr>
            </w:pPr>
            <w:r>
              <w:rPr>
                <w:rFonts w:hint="eastAsia" w:ascii="宋体" w:hAnsi="宋体" w:cs="宋体"/>
                <w:color w:val="auto"/>
                <w:szCs w:val="21"/>
                <w:highlight w:val="none"/>
              </w:rPr>
              <w:t>同响应文件递交截止时间和地点</w:t>
            </w:r>
          </w:p>
        </w:tc>
      </w:tr>
      <w:tr w14:paraId="73D5C259">
        <w:tblPrEx>
          <w:tblCellMar>
            <w:top w:w="0" w:type="dxa"/>
            <w:left w:w="108" w:type="dxa"/>
            <w:bottom w:w="0" w:type="dxa"/>
            <w:right w:w="108" w:type="dxa"/>
          </w:tblCellMar>
        </w:tblPrEx>
        <w:trPr>
          <w:trHeight w:val="381" w:hRule="atLeast"/>
        </w:trPr>
        <w:tc>
          <w:tcPr>
            <w:tcW w:w="993" w:type="dxa"/>
            <w:tcBorders>
              <w:top w:val="single" w:color="auto" w:sz="4" w:space="0"/>
              <w:left w:val="single" w:color="auto" w:sz="4" w:space="0"/>
              <w:right w:val="single" w:color="auto" w:sz="4" w:space="0"/>
            </w:tcBorders>
            <w:vAlign w:val="center"/>
          </w:tcPr>
          <w:p w14:paraId="4FDD877D">
            <w:pPr>
              <w:jc w:val="center"/>
              <w:rPr>
                <w:color w:val="auto"/>
                <w:szCs w:val="21"/>
                <w:highlight w:val="none"/>
              </w:rPr>
            </w:pPr>
            <w:r>
              <w:rPr>
                <w:rFonts w:hint="eastAsia"/>
                <w:color w:val="auto"/>
                <w:szCs w:val="21"/>
                <w:highlight w:val="none"/>
              </w:rPr>
              <w:t>6.1.1</w:t>
            </w:r>
          </w:p>
        </w:tc>
        <w:tc>
          <w:tcPr>
            <w:tcW w:w="1843" w:type="dxa"/>
            <w:tcBorders>
              <w:top w:val="single" w:color="auto" w:sz="4" w:space="0"/>
              <w:left w:val="single" w:color="auto" w:sz="4" w:space="0"/>
              <w:right w:val="single" w:color="auto" w:sz="4" w:space="0"/>
            </w:tcBorders>
            <w:vAlign w:val="center"/>
          </w:tcPr>
          <w:p w14:paraId="7006D045">
            <w:pPr>
              <w:jc w:val="left"/>
              <w:rPr>
                <w:color w:val="auto"/>
                <w:szCs w:val="21"/>
                <w:highlight w:val="none"/>
              </w:rPr>
            </w:pPr>
            <w:r>
              <w:rPr>
                <w:rFonts w:hint="eastAsia"/>
                <w:color w:val="auto"/>
                <w:szCs w:val="21"/>
                <w:highlight w:val="none"/>
              </w:rPr>
              <w:t>谈判小组组成人数</w:t>
            </w:r>
          </w:p>
        </w:tc>
        <w:tc>
          <w:tcPr>
            <w:tcW w:w="6095" w:type="dxa"/>
            <w:tcBorders>
              <w:top w:val="single" w:color="auto" w:sz="4" w:space="0"/>
              <w:left w:val="single" w:color="auto" w:sz="4" w:space="0"/>
              <w:right w:val="single" w:color="auto" w:sz="4" w:space="0"/>
            </w:tcBorders>
            <w:vAlign w:val="center"/>
          </w:tcPr>
          <w:p w14:paraId="33B1885A">
            <w:pPr>
              <w:rPr>
                <w:color w:val="auto"/>
                <w:szCs w:val="21"/>
                <w:highlight w:val="none"/>
              </w:rPr>
            </w:pPr>
            <w:r>
              <w:rPr>
                <w:rFonts w:hint="eastAsia" w:ascii="宋体" w:hAnsi="宋体" w:cs="宋体"/>
                <w:color w:val="auto"/>
                <w:szCs w:val="21"/>
                <w:highlight w:val="none"/>
              </w:rPr>
              <w:t>3人以上单数</w:t>
            </w:r>
          </w:p>
        </w:tc>
      </w:tr>
      <w:tr w14:paraId="2EB55CB4">
        <w:tblPrEx>
          <w:tblCellMar>
            <w:top w:w="0" w:type="dxa"/>
            <w:left w:w="108" w:type="dxa"/>
            <w:bottom w:w="0" w:type="dxa"/>
            <w:right w:w="108" w:type="dxa"/>
          </w:tblCellMar>
        </w:tblPrEx>
        <w:trPr>
          <w:trHeight w:val="381" w:hRule="atLeast"/>
        </w:trPr>
        <w:tc>
          <w:tcPr>
            <w:tcW w:w="993" w:type="dxa"/>
            <w:tcBorders>
              <w:top w:val="single" w:color="auto" w:sz="4" w:space="0"/>
              <w:left w:val="single" w:color="auto" w:sz="4" w:space="0"/>
              <w:right w:val="single" w:color="auto" w:sz="4" w:space="0"/>
            </w:tcBorders>
            <w:vAlign w:val="center"/>
          </w:tcPr>
          <w:p w14:paraId="1EA37C9E">
            <w:pPr>
              <w:jc w:val="center"/>
              <w:rPr>
                <w:color w:val="auto"/>
                <w:szCs w:val="21"/>
                <w:highlight w:val="none"/>
              </w:rPr>
            </w:pPr>
            <w:r>
              <w:rPr>
                <w:rFonts w:hint="eastAsia"/>
                <w:color w:val="auto"/>
                <w:szCs w:val="21"/>
                <w:highlight w:val="none"/>
              </w:rPr>
              <w:t>6.3</w:t>
            </w:r>
          </w:p>
        </w:tc>
        <w:tc>
          <w:tcPr>
            <w:tcW w:w="1843" w:type="dxa"/>
            <w:tcBorders>
              <w:top w:val="single" w:color="auto" w:sz="4" w:space="0"/>
              <w:left w:val="single" w:color="auto" w:sz="4" w:space="0"/>
              <w:right w:val="single" w:color="auto" w:sz="4" w:space="0"/>
            </w:tcBorders>
            <w:vAlign w:val="center"/>
          </w:tcPr>
          <w:p w14:paraId="3EA73ABF">
            <w:pPr>
              <w:jc w:val="left"/>
              <w:rPr>
                <w:color w:val="auto"/>
                <w:szCs w:val="21"/>
                <w:highlight w:val="none"/>
              </w:rPr>
            </w:pPr>
            <w:r>
              <w:rPr>
                <w:rFonts w:hint="eastAsia"/>
                <w:color w:val="auto"/>
                <w:szCs w:val="21"/>
                <w:highlight w:val="none"/>
              </w:rPr>
              <w:t>评审方法</w:t>
            </w:r>
          </w:p>
        </w:tc>
        <w:tc>
          <w:tcPr>
            <w:tcW w:w="6095" w:type="dxa"/>
            <w:tcBorders>
              <w:top w:val="single" w:color="auto" w:sz="4" w:space="0"/>
              <w:left w:val="single" w:color="auto" w:sz="4" w:space="0"/>
              <w:right w:val="single" w:color="auto" w:sz="4" w:space="0"/>
            </w:tcBorders>
            <w:vAlign w:val="center"/>
          </w:tcPr>
          <w:p w14:paraId="51034B82">
            <w:pPr>
              <w:rPr>
                <w:rFonts w:ascii="宋体" w:hAnsi="宋体" w:cs="宋体"/>
                <w:color w:val="auto"/>
                <w:szCs w:val="21"/>
                <w:highlight w:val="none"/>
              </w:rPr>
            </w:pPr>
            <w:r>
              <w:rPr>
                <w:rFonts w:hint="eastAsia" w:ascii="宋体" w:hAnsi="宋体"/>
                <w:color w:val="auto"/>
                <w:szCs w:val="21"/>
                <w:highlight w:val="none"/>
              </w:rPr>
              <w:t>最低评标价法</w:t>
            </w:r>
          </w:p>
        </w:tc>
      </w:tr>
      <w:tr w14:paraId="5D52B3CF">
        <w:tblPrEx>
          <w:tblCellMar>
            <w:top w:w="0" w:type="dxa"/>
            <w:left w:w="108" w:type="dxa"/>
            <w:bottom w:w="0" w:type="dxa"/>
            <w:right w:w="108" w:type="dxa"/>
          </w:tblCellMar>
        </w:tblPrEx>
        <w:trPr>
          <w:trHeight w:val="381" w:hRule="atLeast"/>
        </w:trPr>
        <w:tc>
          <w:tcPr>
            <w:tcW w:w="993" w:type="dxa"/>
            <w:tcBorders>
              <w:top w:val="single" w:color="auto" w:sz="4" w:space="0"/>
              <w:left w:val="single" w:color="auto" w:sz="4" w:space="0"/>
              <w:right w:val="single" w:color="auto" w:sz="4" w:space="0"/>
            </w:tcBorders>
            <w:vAlign w:val="center"/>
          </w:tcPr>
          <w:p w14:paraId="642FCFEE">
            <w:pPr>
              <w:jc w:val="center"/>
              <w:rPr>
                <w:color w:val="auto"/>
                <w:szCs w:val="21"/>
                <w:highlight w:val="none"/>
              </w:rPr>
            </w:pPr>
            <w:r>
              <w:rPr>
                <w:rFonts w:hint="eastAsia"/>
                <w:color w:val="auto"/>
                <w:szCs w:val="21"/>
                <w:highlight w:val="none"/>
              </w:rPr>
              <w:t>6.4</w:t>
            </w:r>
          </w:p>
        </w:tc>
        <w:tc>
          <w:tcPr>
            <w:tcW w:w="1843" w:type="dxa"/>
            <w:tcBorders>
              <w:top w:val="single" w:color="auto" w:sz="4" w:space="0"/>
              <w:left w:val="single" w:color="auto" w:sz="4" w:space="0"/>
              <w:right w:val="single" w:color="auto" w:sz="4" w:space="0"/>
            </w:tcBorders>
            <w:vAlign w:val="center"/>
          </w:tcPr>
          <w:p w14:paraId="71037CEF">
            <w:pPr>
              <w:jc w:val="left"/>
              <w:rPr>
                <w:rFonts w:ascii="宋体" w:hAnsi="宋体" w:cs="宋体"/>
                <w:color w:val="auto"/>
                <w:szCs w:val="21"/>
                <w:highlight w:val="none"/>
              </w:rPr>
            </w:pPr>
            <w:r>
              <w:rPr>
                <w:rFonts w:hint="eastAsia" w:ascii="宋体" w:hAnsi="宋体" w:cs="宋体"/>
                <w:color w:val="auto"/>
                <w:szCs w:val="21"/>
                <w:highlight w:val="none"/>
              </w:rPr>
              <w:t>推荐成交候选人原则</w:t>
            </w:r>
          </w:p>
        </w:tc>
        <w:tc>
          <w:tcPr>
            <w:tcW w:w="6095" w:type="dxa"/>
            <w:tcBorders>
              <w:top w:val="single" w:color="auto" w:sz="4" w:space="0"/>
              <w:left w:val="single" w:color="auto" w:sz="4" w:space="0"/>
              <w:right w:val="single" w:color="auto" w:sz="4" w:space="0"/>
            </w:tcBorders>
            <w:vAlign w:val="center"/>
          </w:tcPr>
          <w:p w14:paraId="540C273E">
            <w:pPr>
              <w:autoSpaceDE w:val="0"/>
              <w:autoSpaceDN w:val="0"/>
              <w:rPr>
                <w:rFonts w:ascii="宋体" w:hAnsi="宋体" w:cs="宋体"/>
                <w:color w:val="auto"/>
                <w:szCs w:val="21"/>
                <w:highlight w:val="none"/>
              </w:rPr>
            </w:pPr>
            <w:r>
              <w:rPr>
                <w:rFonts w:hint="eastAsia" w:ascii="宋体" w:hAnsi="宋体" w:cs="宋体"/>
                <w:color w:val="auto"/>
                <w:kern w:val="0"/>
                <w:highlight w:val="none"/>
              </w:rPr>
              <w:t>本项目</w:t>
            </w:r>
            <w:r>
              <w:rPr>
                <w:rFonts w:hint="eastAsia" w:ascii="宋体" w:hAnsi="宋体" w:cs="宋体"/>
                <w:color w:val="auto"/>
                <w:kern w:val="0"/>
                <w:highlight w:val="none"/>
                <w:lang w:val="en-US" w:eastAsia="zh-CN"/>
              </w:rPr>
              <w:t>每标包各</w:t>
            </w:r>
            <w:r>
              <w:rPr>
                <w:rFonts w:hint="eastAsia" w:ascii="宋体" w:hAnsi="宋体" w:cs="宋体"/>
                <w:color w:val="auto"/>
                <w:kern w:val="0"/>
                <w:highlight w:val="none"/>
              </w:rPr>
              <w:t>推荐</w:t>
            </w:r>
            <w:r>
              <w:rPr>
                <w:rFonts w:hint="eastAsia" w:ascii="宋体" w:hAnsi="宋体" w:cs="宋体"/>
                <w:color w:val="auto"/>
                <w:kern w:val="0"/>
                <w:highlight w:val="none"/>
                <w:lang w:val="en-US" w:eastAsia="zh-CN"/>
              </w:rPr>
              <w:t>一</w:t>
            </w:r>
            <w:r>
              <w:rPr>
                <w:rFonts w:hint="eastAsia" w:ascii="宋体" w:hAnsi="宋体" w:cs="宋体"/>
                <w:color w:val="auto"/>
                <w:kern w:val="0"/>
                <w:highlight w:val="none"/>
              </w:rPr>
              <w:t>名</w:t>
            </w:r>
            <w:r>
              <w:rPr>
                <w:rFonts w:hint="eastAsia" w:ascii="宋体" w:hAnsi="宋体" w:cs="宋体"/>
                <w:color w:val="auto"/>
                <w:kern w:val="0"/>
                <w:highlight w:val="none"/>
                <w:lang w:val="en-US" w:eastAsia="zh-CN"/>
              </w:rPr>
              <w:t>或以上</w:t>
            </w:r>
            <w:r>
              <w:rPr>
                <w:rFonts w:hint="eastAsia" w:ascii="宋体" w:hAnsi="宋体" w:cs="宋体"/>
                <w:color w:val="auto"/>
                <w:kern w:val="0"/>
                <w:highlight w:val="none"/>
              </w:rPr>
              <w:t>成交候选单位。</w:t>
            </w:r>
            <w:r>
              <w:rPr>
                <w:rFonts w:hint="eastAsia"/>
                <w:color w:val="auto"/>
                <w:szCs w:val="21"/>
                <w:highlight w:val="none"/>
              </w:rPr>
              <w:t>根据符合采购需求、质量和服务且报价最低的原则按顺序排列推荐成交</w:t>
            </w:r>
            <w:r>
              <w:rPr>
                <w:rFonts w:hint="eastAsia"/>
                <w:color w:val="auto"/>
                <w:szCs w:val="21"/>
                <w:highlight w:val="none"/>
                <w:lang w:eastAsia="zh-CN"/>
              </w:rPr>
              <w:t>候选人</w:t>
            </w:r>
            <w:r>
              <w:rPr>
                <w:rFonts w:hint="eastAsia" w:ascii="宋体" w:hAnsi="宋体" w:cs="宋体"/>
                <w:color w:val="auto"/>
                <w:kern w:val="0"/>
                <w:highlight w:val="none"/>
              </w:rPr>
              <w:t>。如最低投标报价相同，由谈判小组按技术指标优劣顺序排列。如果无法进行合理排序，则采用现场随机抽签方式确定。</w:t>
            </w:r>
          </w:p>
        </w:tc>
      </w:tr>
      <w:tr w14:paraId="6D68AD4C">
        <w:tblPrEx>
          <w:tblCellMar>
            <w:top w:w="0" w:type="dxa"/>
            <w:left w:w="108" w:type="dxa"/>
            <w:bottom w:w="0" w:type="dxa"/>
            <w:right w:w="108" w:type="dxa"/>
          </w:tblCellMar>
        </w:tblPrEx>
        <w:trPr>
          <w:trHeight w:val="381" w:hRule="atLeast"/>
        </w:trPr>
        <w:tc>
          <w:tcPr>
            <w:tcW w:w="993" w:type="dxa"/>
            <w:tcBorders>
              <w:top w:val="single" w:color="auto" w:sz="4" w:space="0"/>
              <w:left w:val="single" w:color="auto" w:sz="4" w:space="0"/>
              <w:right w:val="single" w:color="auto" w:sz="4" w:space="0"/>
            </w:tcBorders>
            <w:vAlign w:val="center"/>
          </w:tcPr>
          <w:p w14:paraId="27D69622">
            <w:pPr>
              <w:jc w:val="center"/>
              <w:rPr>
                <w:color w:val="auto"/>
                <w:szCs w:val="21"/>
                <w:highlight w:val="none"/>
              </w:rPr>
            </w:pPr>
            <w:r>
              <w:rPr>
                <w:rFonts w:hint="eastAsia"/>
                <w:color w:val="auto"/>
                <w:szCs w:val="21"/>
                <w:highlight w:val="none"/>
              </w:rPr>
              <w:t>7.1</w:t>
            </w:r>
          </w:p>
        </w:tc>
        <w:tc>
          <w:tcPr>
            <w:tcW w:w="1843" w:type="dxa"/>
            <w:tcBorders>
              <w:top w:val="single" w:color="auto" w:sz="4" w:space="0"/>
              <w:left w:val="single" w:color="auto" w:sz="4" w:space="0"/>
              <w:right w:val="single" w:color="auto" w:sz="4" w:space="0"/>
            </w:tcBorders>
            <w:vAlign w:val="center"/>
          </w:tcPr>
          <w:p w14:paraId="5037314D">
            <w:pPr>
              <w:jc w:val="left"/>
              <w:rPr>
                <w:rFonts w:ascii="宋体" w:hAnsi="宋体" w:cs="宋体"/>
                <w:color w:val="auto"/>
                <w:szCs w:val="21"/>
                <w:highlight w:val="none"/>
              </w:rPr>
            </w:pPr>
            <w:r>
              <w:rPr>
                <w:rStyle w:val="83"/>
                <w:rFonts w:hint="eastAsia"/>
                <w:color w:val="auto"/>
                <w:szCs w:val="21"/>
                <w:highlight w:val="none"/>
              </w:rPr>
              <w:t>成交候选人公示媒介</w:t>
            </w:r>
          </w:p>
        </w:tc>
        <w:tc>
          <w:tcPr>
            <w:tcW w:w="6095" w:type="dxa"/>
            <w:tcBorders>
              <w:top w:val="single" w:color="auto" w:sz="4" w:space="0"/>
              <w:left w:val="single" w:color="auto" w:sz="4" w:space="0"/>
              <w:right w:val="single" w:color="auto" w:sz="4" w:space="0"/>
            </w:tcBorders>
            <w:vAlign w:val="center"/>
          </w:tcPr>
          <w:p w14:paraId="22DD79B7">
            <w:pPr>
              <w:autoSpaceDE w:val="0"/>
              <w:autoSpaceDN w:val="0"/>
              <w:rPr>
                <w:rFonts w:ascii="宋体" w:hAnsi="宋体" w:cs="宋体"/>
                <w:color w:val="auto"/>
                <w:kern w:val="0"/>
                <w:highlight w:val="none"/>
              </w:rPr>
            </w:pPr>
            <w:r>
              <w:rPr>
                <w:rFonts w:hint="eastAsia"/>
                <w:color w:val="auto"/>
                <w:highlight w:val="none"/>
                <w:u w:val="single"/>
              </w:rPr>
              <w:t>东莞实业投资控股集团有限公司网站</w:t>
            </w:r>
            <w:r>
              <w:rPr>
                <w:color w:val="auto"/>
                <w:highlight w:val="none"/>
                <w:u w:val="single"/>
              </w:rPr>
              <w:t>（</w:t>
            </w:r>
            <w:r>
              <w:rPr>
                <w:rFonts w:hint="eastAsia"/>
                <w:color w:val="auto"/>
                <w:highlight w:val="none"/>
                <w:u w:val="single"/>
              </w:rPr>
              <w:t>网址：http://www.dgsy.com.cn/</w:t>
            </w:r>
            <w:r>
              <w:rPr>
                <w:color w:val="auto"/>
                <w:highlight w:val="none"/>
                <w:u w:val="single"/>
              </w:rPr>
              <w:t>）</w:t>
            </w:r>
          </w:p>
        </w:tc>
      </w:tr>
      <w:tr w14:paraId="2FA10CF0">
        <w:tblPrEx>
          <w:tblCellMar>
            <w:top w:w="0" w:type="dxa"/>
            <w:left w:w="108" w:type="dxa"/>
            <w:bottom w:w="0" w:type="dxa"/>
            <w:right w:w="108" w:type="dxa"/>
          </w:tblCellMar>
        </w:tblPrEx>
        <w:trPr>
          <w:trHeight w:val="880" w:hRule="atLeast"/>
        </w:trPr>
        <w:tc>
          <w:tcPr>
            <w:tcW w:w="993" w:type="dxa"/>
            <w:tcBorders>
              <w:top w:val="single" w:color="auto" w:sz="4" w:space="0"/>
              <w:left w:val="single" w:color="auto" w:sz="4" w:space="0"/>
              <w:right w:val="single" w:color="auto" w:sz="4" w:space="0"/>
            </w:tcBorders>
            <w:vAlign w:val="center"/>
          </w:tcPr>
          <w:p w14:paraId="6B0113E5">
            <w:pPr>
              <w:jc w:val="center"/>
              <w:rPr>
                <w:color w:val="auto"/>
                <w:szCs w:val="21"/>
                <w:highlight w:val="none"/>
              </w:rPr>
            </w:pPr>
            <w:r>
              <w:rPr>
                <w:rFonts w:hint="eastAsia"/>
                <w:color w:val="auto"/>
                <w:szCs w:val="21"/>
                <w:highlight w:val="none"/>
              </w:rPr>
              <w:t>7.3.1</w:t>
            </w:r>
          </w:p>
        </w:tc>
        <w:tc>
          <w:tcPr>
            <w:tcW w:w="1843" w:type="dxa"/>
            <w:tcBorders>
              <w:top w:val="single" w:color="auto" w:sz="4" w:space="0"/>
              <w:left w:val="single" w:color="auto" w:sz="4" w:space="0"/>
              <w:right w:val="single" w:color="auto" w:sz="4" w:space="0"/>
            </w:tcBorders>
            <w:vAlign w:val="center"/>
          </w:tcPr>
          <w:p w14:paraId="3A361383">
            <w:pPr>
              <w:jc w:val="left"/>
              <w:rPr>
                <w:rFonts w:ascii="宋体" w:hAnsi="宋体" w:cs="宋体"/>
                <w:color w:val="auto"/>
                <w:szCs w:val="21"/>
                <w:highlight w:val="none"/>
              </w:rPr>
            </w:pPr>
            <w:r>
              <w:rPr>
                <w:rFonts w:hint="eastAsia" w:ascii="宋体" w:hAnsi="宋体" w:cs="宋体"/>
                <w:color w:val="auto"/>
                <w:szCs w:val="21"/>
                <w:highlight w:val="none"/>
              </w:rPr>
              <w:t>成交人确定</w:t>
            </w:r>
          </w:p>
        </w:tc>
        <w:tc>
          <w:tcPr>
            <w:tcW w:w="6095" w:type="dxa"/>
            <w:tcBorders>
              <w:top w:val="single" w:color="auto" w:sz="4" w:space="0"/>
              <w:left w:val="single" w:color="auto" w:sz="4" w:space="0"/>
              <w:right w:val="single" w:color="auto" w:sz="4" w:space="0"/>
            </w:tcBorders>
            <w:vAlign w:val="center"/>
          </w:tcPr>
          <w:p w14:paraId="62F08000">
            <w:pPr>
              <w:autoSpaceDE w:val="0"/>
              <w:autoSpaceDN w:val="0"/>
              <w:rPr>
                <w:rFonts w:ascii="宋体" w:hAnsi="宋体" w:cs="宋体"/>
                <w:color w:val="auto"/>
                <w:szCs w:val="21"/>
                <w:highlight w:val="none"/>
              </w:rPr>
            </w:pPr>
            <w:r>
              <w:rPr>
                <w:rFonts w:hint="eastAsia" w:ascii="宋体" w:hAnsi="宋体"/>
                <w:color w:val="auto"/>
                <w:szCs w:val="21"/>
                <w:highlight w:val="none"/>
              </w:rPr>
              <w:t>□</w:t>
            </w:r>
            <w:r>
              <w:rPr>
                <w:rFonts w:hint="eastAsia" w:hAnsi="宋体"/>
                <w:color w:val="auto"/>
                <w:szCs w:val="21"/>
                <w:highlight w:val="none"/>
              </w:rPr>
              <w:t>谈判小组直接确定成交人</w:t>
            </w:r>
            <w:r>
              <w:rPr>
                <w:rFonts w:hint="eastAsia" w:ascii="宋体" w:hAnsi="宋体" w:cs="宋体"/>
                <w:color w:val="auto"/>
                <w:szCs w:val="21"/>
                <w:highlight w:val="none"/>
              </w:rPr>
              <w:t>，</w:t>
            </w:r>
            <w:r>
              <w:rPr>
                <w:rFonts w:hint="eastAsia" w:hAnsi="宋体"/>
                <w:color w:val="auto"/>
                <w:szCs w:val="21"/>
                <w:highlight w:val="none"/>
              </w:rPr>
              <w:t>成交人数量：</w:t>
            </w:r>
            <w:r>
              <w:rPr>
                <w:rFonts w:ascii="宋体" w:hAnsi="宋体" w:cs="宋体"/>
                <w:color w:val="auto"/>
                <w:szCs w:val="21"/>
                <w:highlight w:val="none"/>
                <w:u w:val="single"/>
              </w:rPr>
              <w:t xml:space="preserve">    </w:t>
            </w:r>
            <w:r>
              <w:rPr>
                <w:rFonts w:hint="eastAsia" w:ascii="宋体" w:hAnsi="宋体" w:cs="宋体"/>
                <w:color w:val="auto"/>
                <w:szCs w:val="21"/>
                <w:highlight w:val="none"/>
              </w:rPr>
              <w:t>人</w:t>
            </w:r>
          </w:p>
          <w:p w14:paraId="05BA6CFD">
            <w:pPr>
              <w:autoSpaceDE w:val="0"/>
              <w:autoSpaceDN w:val="0"/>
              <w:rPr>
                <w:rFonts w:ascii="宋体" w:hAnsi="宋体" w:cs="宋体"/>
                <w:color w:val="auto"/>
                <w:szCs w:val="21"/>
                <w:highlight w:val="none"/>
              </w:rPr>
            </w:pPr>
            <w:r>
              <w:rPr>
                <w:rFonts w:hint="eastAsia"/>
                <w:color w:val="auto"/>
                <w:szCs w:val="21"/>
                <w:highlight w:val="none"/>
              </w:rPr>
              <w:t>■</w:t>
            </w:r>
            <w:r>
              <w:rPr>
                <w:rFonts w:hint="eastAsia" w:ascii="宋体" w:hAnsi="宋体" w:cs="宋体"/>
                <w:color w:val="auto"/>
                <w:szCs w:val="21"/>
                <w:highlight w:val="none"/>
              </w:rPr>
              <w:t>采购人确定成交人，</w:t>
            </w:r>
            <w:r>
              <w:rPr>
                <w:rFonts w:hint="eastAsia" w:hAnsi="宋体"/>
                <w:color w:val="auto"/>
                <w:szCs w:val="21"/>
                <w:highlight w:val="none"/>
              </w:rPr>
              <w:t>成交人数量：</w:t>
            </w:r>
            <w:r>
              <w:rPr>
                <w:rFonts w:hint="eastAsia" w:ascii="宋体" w:hAnsi="宋体" w:cs="宋体"/>
                <w:color w:val="auto"/>
                <w:kern w:val="0"/>
                <w:highlight w:val="none"/>
                <w:lang w:val="en-US" w:eastAsia="zh-CN"/>
              </w:rPr>
              <w:t>每标包</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1</w:t>
            </w:r>
            <w:r>
              <w:rPr>
                <w:rFonts w:ascii="宋体" w:hAnsi="宋体" w:cs="宋体"/>
                <w:color w:val="auto"/>
                <w:szCs w:val="21"/>
                <w:highlight w:val="none"/>
                <w:u w:val="single"/>
              </w:rPr>
              <w:t xml:space="preserve"> </w:t>
            </w:r>
            <w:r>
              <w:rPr>
                <w:rFonts w:hint="eastAsia" w:ascii="宋体" w:hAnsi="宋体" w:cs="宋体"/>
                <w:color w:val="auto"/>
                <w:szCs w:val="21"/>
                <w:highlight w:val="none"/>
              </w:rPr>
              <w:t>人</w:t>
            </w:r>
          </w:p>
        </w:tc>
      </w:tr>
      <w:tr w14:paraId="1F200455">
        <w:tblPrEx>
          <w:tblCellMar>
            <w:top w:w="0" w:type="dxa"/>
            <w:left w:w="108" w:type="dxa"/>
            <w:bottom w:w="0" w:type="dxa"/>
            <w:right w:w="108" w:type="dxa"/>
          </w:tblCellMar>
        </w:tblPrEx>
        <w:trPr>
          <w:trHeight w:val="880" w:hRule="atLeast"/>
        </w:trPr>
        <w:tc>
          <w:tcPr>
            <w:tcW w:w="993" w:type="dxa"/>
            <w:tcBorders>
              <w:top w:val="single" w:color="auto" w:sz="4" w:space="0"/>
              <w:left w:val="single" w:color="auto" w:sz="4" w:space="0"/>
              <w:right w:val="single" w:color="auto" w:sz="4" w:space="0"/>
            </w:tcBorders>
            <w:vAlign w:val="center"/>
          </w:tcPr>
          <w:p w14:paraId="1B8BFBA0">
            <w:pPr>
              <w:jc w:val="center"/>
              <w:rPr>
                <w:color w:val="auto"/>
                <w:szCs w:val="21"/>
                <w:highlight w:val="none"/>
              </w:rPr>
            </w:pPr>
            <w:r>
              <w:rPr>
                <w:rFonts w:hint="eastAsia"/>
                <w:color w:val="auto"/>
                <w:szCs w:val="21"/>
                <w:highlight w:val="none"/>
              </w:rPr>
              <w:t>7.3.2</w:t>
            </w:r>
          </w:p>
        </w:tc>
        <w:tc>
          <w:tcPr>
            <w:tcW w:w="1843" w:type="dxa"/>
            <w:tcBorders>
              <w:top w:val="single" w:color="auto" w:sz="4" w:space="0"/>
              <w:left w:val="single" w:color="auto" w:sz="4" w:space="0"/>
              <w:right w:val="single" w:color="auto" w:sz="4" w:space="0"/>
            </w:tcBorders>
            <w:vAlign w:val="center"/>
          </w:tcPr>
          <w:p w14:paraId="1F6EEA7D">
            <w:pPr>
              <w:jc w:val="left"/>
              <w:rPr>
                <w:rFonts w:ascii="宋体" w:hAnsi="宋体" w:cs="宋体"/>
                <w:color w:val="auto"/>
                <w:szCs w:val="21"/>
                <w:highlight w:val="none"/>
              </w:rPr>
            </w:pPr>
            <w:r>
              <w:rPr>
                <w:rFonts w:hint="eastAsia" w:ascii="宋体" w:hAnsi="宋体" w:cs="宋体"/>
                <w:color w:val="auto"/>
                <w:szCs w:val="21"/>
                <w:highlight w:val="none"/>
              </w:rPr>
              <w:t>成交原则</w:t>
            </w:r>
          </w:p>
        </w:tc>
        <w:tc>
          <w:tcPr>
            <w:tcW w:w="6095" w:type="dxa"/>
            <w:tcBorders>
              <w:top w:val="single" w:color="auto" w:sz="4" w:space="0"/>
              <w:left w:val="single" w:color="auto" w:sz="4" w:space="0"/>
              <w:right w:val="single" w:color="auto" w:sz="4" w:space="0"/>
            </w:tcBorders>
            <w:vAlign w:val="center"/>
          </w:tcPr>
          <w:p w14:paraId="6BE8FB26">
            <w:pPr>
              <w:autoSpaceDE w:val="0"/>
              <w:autoSpaceDN w:val="0"/>
              <w:rPr>
                <w:rFonts w:ascii="宋体" w:hAnsi="宋体" w:cs="宋体"/>
                <w:color w:val="auto"/>
                <w:szCs w:val="21"/>
                <w:highlight w:val="none"/>
              </w:rPr>
            </w:pPr>
            <w:r>
              <w:rPr>
                <w:color w:val="auto"/>
                <w:szCs w:val="21"/>
                <w:highlight w:val="none"/>
              </w:rPr>
              <w:t>采购人</w:t>
            </w:r>
            <w:r>
              <w:rPr>
                <w:rFonts w:hint="eastAsia"/>
                <w:color w:val="auto"/>
                <w:szCs w:val="21"/>
                <w:highlight w:val="none"/>
              </w:rPr>
              <w:t>根据谈判小组推荐的</w:t>
            </w:r>
            <w:r>
              <w:rPr>
                <w:color w:val="auto"/>
                <w:szCs w:val="21"/>
                <w:highlight w:val="none"/>
              </w:rPr>
              <w:t>成交候选人</w:t>
            </w:r>
            <w:r>
              <w:rPr>
                <w:rFonts w:hint="eastAsia"/>
                <w:color w:val="auto"/>
                <w:szCs w:val="21"/>
                <w:highlight w:val="none"/>
              </w:rPr>
              <w:t>名单排序</w:t>
            </w:r>
            <w:r>
              <w:rPr>
                <w:color w:val="auto"/>
                <w:szCs w:val="21"/>
                <w:highlight w:val="none"/>
              </w:rPr>
              <w:t>依次确定</w:t>
            </w:r>
            <w:r>
              <w:rPr>
                <w:rFonts w:hint="eastAsia"/>
                <w:color w:val="auto"/>
                <w:szCs w:val="21"/>
                <w:highlight w:val="none"/>
                <w:lang w:val="en-US" w:eastAsia="zh-CN"/>
              </w:rPr>
              <w:t>各</w:t>
            </w:r>
            <w:r>
              <w:rPr>
                <w:rFonts w:hint="eastAsia" w:ascii="宋体" w:hAnsi="宋体" w:cs="宋体"/>
                <w:color w:val="auto"/>
                <w:kern w:val="0"/>
                <w:highlight w:val="none"/>
                <w:lang w:val="en-US" w:eastAsia="zh-CN"/>
              </w:rPr>
              <w:t>标包</w:t>
            </w:r>
            <w:r>
              <w:rPr>
                <w:color w:val="auto"/>
                <w:szCs w:val="21"/>
                <w:highlight w:val="none"/>
              </w:rPr>
              <w:t>成交人</w:t>
            </w:r>
            <w:r>
              <w:rPr>
                <w:rFonts w:hint="eastAsia"/>
                <w:color w:val="auto"/>
                <w:szCs w:val="21"/>
                <w:highlight w:val="none"/>
              </w:rPr>
              <w:t>。</w:t>
            </w:r>
          </w:p>
        </w:tc>
      </w:tr>
      <w:tr w14:paraId="7A5CF47F">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14:paraId="002F6021">
            <w:pPr>
              <w:jc w:val="center"/>
              <w:rPr>
                <w:color w:val="auto"/>
                <w:szCs w:val="21"/>
                <w:highlight w:val="none"/>
              </w:rPr>
            </w:pPr>
            <w:r>
              <w:rPr>
                <w:rFonts w:hint="eastAsia"/>
                <w:color w:val="auto"/>
                <w:szCs w:val="21"/>
                <w:highlight w:val="none"/>
              </w:rPr>
              <w:t>8.1.1</w:t>
            </w:r>
          </w:p>
        </w:tc>
        <w:tc>
          <w:tcPr>
            <w:tcW w:w="1843" w:type="dxa"/>
            <w:tcBorders>
              <w:top w:val="single" w:color="auto" w:sz="4" w:space="0"/>
              <w:left w:val="single" w:color="auto" w:sz="4" w:space="0"/>
              <w:bottom w:val="single" w:color="auto" w:sz="4" w:space="0"/>
              <w:right w:val="single" w:color="auto" w:sz="4" w:space="0"/>
            </w:tcBorders>
            <w:vAlign w:val="center"/>
          </w:tcPr>
          <w:p w14:paraId="59FC93C9">
            <w:pPr>
              <w:jc w:val="left"/>
              <w:rPr>
                <w:color w:val="auto"/>
                <w:szCs w:val="21"/>
                <w:highlight w:val="none"/>
              </w:rPr>
            </w:pPr>
            <w:r>
              <w:rPr>
                <w:rFonts w:hint="eastAsia" w:ascii="宋体" w:hAnsi="宋体" w:cs="宋体"/>
                <w:color w:val="auto"/>
                <w:szCs w:val="21"/>
                <w:highlight w:val="none"/>
              </w:rPr>
              <w:t>履约担保金额、缴纳方式及要求</w:t>
            </w:r>
          </w:p>
        </w:tc>
        <w:tc>
          <w:tcPr>
            <w:tcW w:w="6095" w:type="dxa"/>
            <w:tcBorders>
              <w:top w:val="single" w:color="auto" w:sz="4" w:space="0"/>
              <w:left w:val="single" w:color="auto" w:sz="4" w:space="0"/>
              <w:bottom w:val="single" w:color="auto" w:sz="4" w:space="0"/>
              <w:right w:val="single" w:color="auto" w:sz="4" w:space="0"/>
            </w:tcBorders>
            <w:vAlign w:val="center"/>
          </w:tcPr>
          <w:p w14:paraId="6D624574">
            <w:pPr>
              <w:autoSpaceDE w:val="0"/>
              <w:autoSpaceDN w:val="0"/>
              <w:jc w:val="left"/>
              <w:rPr>
                <w:rFonts w:ascii="宋体" w:hAnsi="宋体" w:cs="宋体"/>
                <w:color w:val="auto"/>
                <w:szCs w:val="21"/>
                <w:highlight w:val="none"/>
              </w:rPr>
            </w:pPr>
            <w:r>
              <w:rPr>
                <w:rFonts w:hint="eastAsia" w:ascii="宋体" w:hAnsi="宋体" w:cs="宋体"/>
                <w:color w:val="auto"/>
                <w:szCs w:val="21"/>
                <w:highlight w:val="none"/>
              </w:rPr>
              <w:t>1.履约担保金额：合同金额的</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0.00</w:t>
            </w:r>
            <w:r>
              <w:rPr>
                <w:rFonts w:ascii="宋体" w:hAnsi="宋体" w:cs="宋体"/>
                <w:color w:val="auto"/>
                <w:szCs w:val="21"/>
                <w:highlight w:val="none"/>
                <w:u w:val="single"/>
              </w:rPr>
              <w:t xml:space="preserve">  </w:t>
            </w:r>
            <w:r>
              <w:rPr>
                <w:rFonts w:ascii="宋体" w:hAnsi="宋体" w:cs="宋体"/>
                <w:color w:val="auto"/>
                <w:szCs w:val="21"/>
                <w:highlight w:val="none"/>
              </w:rPr>
              <w:t>%</w:t>
            </w:r>
          </w:p>
          <w:p w14:paraId="69F28B3E">
            <w:pPr>
              <w:rPr>
                <w:rFonts w:ascii="宋体" w:hAnsi="宋体" w:cs="宋体"/>
                <w:color w:val="auto"/>
                <w:szCs w:val="21"/>
                <w:highlight w:val="none"/>
                <w:u w:val="single"/>
              </w:rPr>
            </w:pPr>
            <w:r>
              <w:rPr>
                <w:rFonts w:hint="eastAsia" w:ascii="宋体" w:hAnsi="宋体" w:cs="宋体"/>
                <w:color w:val="auto"/>
                <w:szCs w:val="21"/>
                <w:highlight w:val="none"/>
              </w:rPr>
              <w:t>2.履约担保方式：</w:t>
            </w:r>
            <w:r>
              <w:rPr>
                <w:rFonts w:hint="eastAsia" w:ascii="宋体" w:hAnsi="宋体" w:cs="宋体"/>
                <w:color w:val="auto"/>
                <w:szCs w:val="21"/>
                <w:highlight w:val="none"/>
                <w:u w:val="single"/>
              </w:rPr>
              <w:t>（现金/银行汇票/银行支票/银行保函）</w:t>
            </w:r>
          </w:p>
          <w:p w14:paraId="5F4DF44F">
            <w:pPr>
              <w:rPr>
                <w:rFonts w:hAnsi="宋体"/>
                <w:color w:val="auto"/>
                <w:szCs w:val="21"/>
                <w:highlight w:val="none"/>
                <w:lang w:val="zh-CN"/>
              </w:rPr>
            </w:pPr>
            <w:r>
              <w:rPr>
                <w:rFonts w:hint="eastAsia" w:hAnsi="宋体"/>
                <w:color w:val="auto"/>
                <w:szCs w:val="21"/>
                <w:highlight w:val="none"/>
                <w:lang w:val="zh-CN"/>
              </w:rPr>
              <w:t>3.响应人在合同签订前提交履约担保，履约担保金额不超过成交合同金额的10%，如果成交人提交的履约保函的有效期先于合同要求的履约保函有效期到达，成交人应在原提交的履约保函有效期满前15天，无条件办理保函延期手续。否则，视为成交人违约，采购人可在保函到期前将保函金额转为现金存入履约保证金账户。</w:t>
            </w:r>
          </w:p>
          <w:p w14:paraId="7CB12016">
            <w:pPr>
              <w:rPr>
                <w:rFonts w:hAnsi="宋体"/>
                <w:color w:val="auto"/>
                <w:szCs w:val="21"/>
                <w:highlight w:val="none"/>
                <w:lang w:val="zh-CN"/>
              </w:rPr>
            </w:pPr>
            <w:r>
              <w:rPr>
                <w:rFonts w:hint="eastAsia" w:hAnsi="宋体"/>
                <w:color w:val="auto"/>
                <w:szCs w:val="21"/>
                <w:highlight w:val="none"/>
                <w:lang w:val="zh-CN"/>
              </w:rPr>
              <w:t>4.履约担保期限</w:t>
            </w:r>
            <w:r>
              <w:rPr>
                <w:rFonts w:hint="eastAsia" w:hAnsi="宋体"/>
                <w:color w:val="auto"/>
                <w:szCs w:val="21"/>
                <w:highlight w:val="none"/>
                <w:u w:val="single"/>
                <w:lang w:val="zh-CN"/>
              </w:rPr>
              <w:t>从合同签订之日起至项目完工验收合格并结算完毕后，经双方签字7天内保持有效</w:t>
            </w:r>
            <w:r>
              <w:rPr>
                <w:rFonts w:hint="eastAsia" w:hAnsi="宋体"/>
                <w:color w:val="auto"/>
                <w:szCs w:val="21"/>
                <w:highlight w:val="none"/>
                <w:lang w:val="zh-CN"/>
              </w:rPr>
              <w:t>。</w:t>
            </w:r>
          </w:p>
          <w:p w14:paraId="6CCDA716">
            <w:pPr>
              <w:rPr>
                <w:rFonts w:hAnsi="宋体"/>
                <w:color w:val="auto"/>
                <w:szCs w:val="21"/>
                <w:highlight w:val="none"/>
                <w:lang w:val="zh-CN"/>
              </w:rPr>
            </w:pPr>
            <w:r>
              <w:rPr>
                <w:rFonts w:hint="eastAsia" w:hAnsi="宋体"/>
                <w:color w:val="auto"/>
                <w:szCs w:val="21"/>
                <w:highlight w:val="none"/>
                <w:lang w:val="zh-CN"/>
              </w:rPr>
              <w:t>5.履约担保要求：</w:t>
            </w:r>
          </w:p>
          <w:p w14:paraId="09AEBB41">
            <w:pPr>
              <w:rPr>
                <w:rFonts w:hAnsi="宋体"/>
                <w:color w:val="auto"/>
                <w:szCs w:val="21"/>
                <w:highlight w:val="none"/>
                <w:lang w:val="zh-CN"/>
              </w:rPr>
            </w:pPr>
            <w:r>
              <w:rPr>
                <w:rFonts w:hint="eastAsia" w:hAnsi="宋体"/>
                <w:color w:val="auto"/>
                <w:szCs w:val="21"/>
                <w:highlight w:val="none"/>
                <w:lang w:val="zh-CN"/>
              </w:rPr>
              <w:t>（1）履约保函。如果响应人的履约担保是以银行保函形式提供的，则该银行保函应：</w:t>
            </w:r>
          </w:p>
          <w:p w14:paraId="10B84506">
            <w:pPr>
              <w:rPr>
                <w:rFonts w:hAnsi="宋体"/>
                <w:color w:val="auto"/>
                <w:szCs w:val="21"/>
                <w:highlight w:val="none"/>
                <w:lang w:val="zh-CN"/>
              </w:rPr>
            </w:pPr>
            <w:r>
              <w:rPr>
                <w:rFonts w:hint="eastAsia" w:hAnsi="宋体"/>
                <w:color w:val="auto"/>
                <w:szCs w:val="21"/>
                <w:highlight w:val="none"/>
                <w:lang w:val="zh-CN"/>
              </w:rPr>
              <w:t>①保函应由银行支行或以上银行机构开具，非东莞市行政区内的银行开具的保函要由银行所在地公证部门出具的公证书。</w:t>
            </w:r>
          </w:p>
          <w:p w14:paraId="10A1B4D6">
            <w:pPr>
              <w:rPr>
                <w:rFonts w:hAnsi="宋体"/>
                <w:color w:val="auto"/>
                <w:szCs w:val="21"/>
                <w:highlight w:val="none"/>
                <w:lang w:val="zh-CN"/>
              </w:rPr>
            </w:pPr>
            <w:r>
              <w:rPr>
                <w:rFonts w:hint="eastAsia" w:hAnsi="宋体"/>
                <w:color w:val="auto"/>
                <w:szCs w:val="21"/>
                <w:highlight w:val="none"/>
                <w:lang w:val="zh-CN"/>
              </w:rPr>
              <w:t>②保函的格式参考竞争性谈判文件中提供的无条件不可撤销履约保函格式，保函担保期内若项目未能按期竣工，保函必须延期，办理延期手续时在银行方面所产生费用由报价人负责。</w:t>
            </w:r>
          </w:p>
          <w:p w14:paraId="3EC13A90">
            <w:pPr>
              <w:rPr>
                <w:rFonts w:hAnsi="宋体"/>
                <w:color w:val="auto"/>
                <w:szCs w:val="21"/>
                <w:highlight w:val="none"/>
                <w:lang w:val="zh-CN"/>
              </w:rPr>
            </w:pPr>
            <w:r>
              <w:rPr>
                <w:rFonts w:hint="eastAsia" w:hAnsi="宋体"/>
                <w:color w:val="auto"/>
                <w:szCs w:val="21"/>
                <w:highlight w:val="none"/>
                <w:lang w:val="zh-CN"/>
              </w:rPr>
              <w:t>③履约保函必须打印，手写、涂改无效。</w:t>
            </w:r>
          </w:p>
          <w:p w14:paraId="18F46008">
            <w:pPr>
              <w:rPr>
                <w:rFonts w:hAnsi="宋体"/>
                <w:color w:val="auto"/>
                <w:szCs w:val="21"/>
                <w:highlight w:val="none"/>
                <w:lang w:val="zh-CN"/>
              </w:rPr>
            </w:pPr>
            <w:r>
              <w:rPr>
                <w:rFonts w:hint="eastAsia" w:hAnsi="宋体"/>
                <w:color w:val="auto"/>
                <w:szCs w:val="21"/>
                <w:highlight w:val="none"/>
                <w:lang w:val="zh-CN"/>
              </w:rPr>
              <w:t>（2）履约保证金。可采用电汇、银行汇票等银行转账方式提交，但不可以采用现金方式提交。响应人必须保证履约保证金以响应人名称在</w:t>
            </w:r>
            <w:r>
              <w:rPr>
                <w:rFonts w:hint="eastAsia" w:hAnsi="宋体"/>
                <w:color w:val="auto"/>
                <w:szCs w:val="21"/>
                <w:highlight w:val="none"/>
                <w:u w:val="single"/>
                <w:lang w:val="zh-CN"/>
              </w:rPr>
              <w:t>签订合同</w:t>
            </w:r>
            <w:r>
              <w:rPr>
                <w:rFonts w:hint="eastAsia" w:hAnsi="宋体"/>
                <w:color w:val="auto"/>
                <w:szCs w:val="21"/>
                <w:highlight w:val="none"/>
                <w:lang w:val="zh-CN"/>
              </w:rPr>
              <w:t>前提交至采购人指定账户。</w:t>
            </w:r>
          </w:p>
          <w:p w14:paraId="4D57540D">
            <w:pPr>
              <w:rPr>
                <w:rFonts w:hAnsi="宋体"/>
                <w:color w:val="auto"/>
                <w:szCs w:val="21"/>
                <w:highlight w:val="none"/>
                <w:lang w:val="zh-CN"/>
              </w:rPr>
            </w:pPr>
            <w:r>
              <w:rPr>
                <w:rFonts w:hint="eastAsia" w:hAnsi="宋体"/>
                <w:color w:val="auto"/>
                <w:szCs w:val="21"/>
                <w:highlight w:val="none"/>
                <w:lang w:val="zh-CN"/>
              </w:rPr>
              <w:t>（3）若成交人不能按本竞争性谈判文件的规定提交履约保证金的，采购人将有权取消成交人的成交资格（采购人可以按照谈判小组提出的成交候选人名单排序依次确定其他成交候选人为成交人，也可以重新采购），谈判保证金不予退还，给采购人造成的损失如果超过谈判保证金数额的，还应当对超过部分予以赔偿。</w:t>
            </w:r>
          </w:p>
          <w:p w14:paraId="7371251C">
            <w:pPr>
              <w:rPr>
                <w:rFonts w:hAnsi="宋体"/>
                <w:color w:val="auto"/>
                <w:szCs w:val="21"/>
                <w:highlight w:val="none"/>
                <w:lang w:val="zh-CN"/>
              </w:rPr>
            </w:pPr>
            <w:r>
              <w:rPr>
                <w:rFonts w:hint="eastAsia" w:hAnsi="宋体"/>
                <w:color w:val="auto"/>
                <w:szCs w:val="21"/>
                <w:highlight w:val="none"/>
                <w:lang w:val="zh-CN"/>
              </w:rPr>
              <w:t>（4）为取得履约担保所需的费用，由成交人承担；若工期延误，履约担保时间延长，延长费用由成交人承担。</w:t>
            </w:r>
          </w:p>
          <w:p w14:paraId="283F0AE4">
            <w:pPr>
              <w:rPr>
                <w:rFonts w:hAnsi="宋体"/>
                <w:color w:val="auto"/>
                <w:szCs w:val="21"/>
                <w:highlight w:val="none"/>
                <w:lang w:val="zh-CN"/>
              </w:rPr>
            </w:pPr>
            <w:r>
              <w:rPr>
                <w:rFonts w:hint="eastAsia" w:hAnsi="宋体"/>
                <w:color w:val="auto"/>
                <w:szCs w:val="21"/>
                <w:highlight w:val="none"/>
                <w:lang w:val="zh-CN"/>
              </w:rPr>
              <w:t>（5）若成交人在合同履行过程中出现项目质量事故、工期拖延、欠付工人工资、欠付材料款等情况，采购人在经核查属实后，有权将履约保函金额转为现金存入履约保证金账户；成交人造成采购人损失的，采购人有权立即没收其履约担保，若造成损失超过履约担保的，还应当对超过部分予以赔偿。</w:t>
            </w:r>
          </w:p>
          <w:p w14:paraId="1DDC7D82">
            <w:pPr>
              <w:rPr>
                <w:rFonts w:hAnsi="宋体"/>
                <w:color w:val="auto"/>
                <w:szCs w:val="21"/>
                <w:highlight w:val="none"/>
                <w:lang w:val="zh-CN"/>
              </w:rPr>
            </w:pPr>
            <w:r>
              <w:rPr>
                <w:rFonts w:hint="eastAsia" w:hAnsi="宋体"/>
                <w:color w:val="auto"/>
                <w:szCs w:val="21"/>
                <w:highlight w:val="none"/>
                <w:lang w:val="zh-CN"/>
              </w:rPr>
              <w:t>（6）下列任何情况发生时，采购人有权行使享有的担保权利：</w:t>
            </w:r>
          </w:p>
          <w:p w14:paraId="5273A597">
            <w:pPr>
              <w:rPr>
                <w:rFonts w:hAnsi="宋体"/>
                <w:color w:val="auto"/>
                <w:szCs w:val="21"/>
                <w:highlight w:val="none"/>
                <w:lang w:val="zh-CN"/>
              </w:rPr>
            </w:pPr>
            <w:r>
              <w:rPr>
                <w:rFonts w:hint="eastAsia" w:hAnsi="宋体"/>
                <w:color w:val="auto"/>
                <w:szCs w:val="21"/>
                <w:highlight w:val="none"/>
                <w:lang w:val="zh-CN"/>
              </w:rPr>
              <w:t>①成交人将本项目转让给他人，或者在报价文件中未说明，且未经采购人同意，将成交项目分包给他人的；</w:t>
            </w:r>
          </w:p>
          <w:p w14:paraId="6638730F">
            <w:pPr>
              <w:rPr>
                <w:rFonts w:hAnsi="宋体"/>
                <w:color w:val="auto"/>
                <w:szCs w:val="21"/>
                <w:highlight w:val="none"/>
                <w:lang w:val="zh-CN"/>
              </w:rPr>
            </w:pPr>
            <w:r>
              <w:rPr>
                <w:rFonts w:hint="eastAsia" w:hAnsi="宋体"/>
                <w:color w:val="auto"/>
                <w:szCs w:val="21"/>
                <w:highlight w:val="none"/>
                <w:lang w:val="zh-CN"/>
              </w:rPr>
              <w:t>②成交人在履行采购合同期间，违反有关法律法规的规定及合同约定的条款，损害了采购人的利益。</w:t>
            </w:r>
          </w:p>
          <w:p w14:paraId="60DF0C9B">
            <w:pPr>
              <w:rPr>
                <w:color w:val="auto"/>
                <w:szCs w:val="21"/>
                <w:highlight w:val="none"/>
              </w:rPr>
            </w:pPr>
            <w:r>
              <w:rPr>
                <w:rFonts w:hint="eastAsia" w:hAnsi="宋体"/>
                <w:color w:val="auto"/>
                <w:szCs w:val="21"/>
                <w:highlight w:val="none"/>
                <w:lang w:val="zh-CN"/>
              </w:rPr>
              <w:t>（7）在整个项目验收合格后，成交人向采购人提交退回履约担保的申请，采购人办理履约担保退还手续。</w:t>
            </w:r>
          </w:p>
        </w:tc>
      </w:tr>
      <w:tr w14:paraId="103FAD25">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14:paraId="096C7DB1">
            <w:pPr>
              <w:jc w:val="center"/>
              <w:rPr>
                <w:color w:val="auto"/>
                <w:szCs w:val="21"/>
                <w:highlight w:val="none"/>
              </w:rPr>
            </w:pPr>
            <w:r>
              <w:rPr>
                <w:rFonts w:hint="eastAsia"/>
                <w:color w:val="auto"/>
                <w:szCs w:val="21"/>
                <w:highlight w:val="none"/>
              </w:rPr>
              <w:t>9</w:t>
            </w:r>
          </w:p>
        </w:tc>
        <w:tc>
          <w:tcPr>
            <w:tcW w:w="1843" w:type="dxa"/>
            <w:tcBorders>
              <w:top w:val="single" w:color="auto" w:sz="4" w:space="0"/>
              <w:left w:val="single" w:color="auto" w:sz="4" w:space="0"/>
              <w:bottom w:val="single" w:color="auto" w:sz="4" w:space="0"/>
              <w:right w:val="single" w:color="auto" w:sz="4" w:space="0"/>
            </w:tcBorders>
            <w:vAlign w:val="center"/>
          </w:tcPr>
          <w:p w14:paraId="684ABEE2">
            <w:pPr>
              <w:jc w:val="left"/>
              <w:rPr>
                <w:color w:val="auto"/>
                <w:szCs w:val="21"/>
                <w:highlight w:val="none"/>
              </w:rPr>
            </w:pPr>
            <w:r>
              <w:rPr>
                <w:rFonts w:hint="eastAsia" w:ascii="宋体" w:hAnsi="宋体" w:cs="宋体"/>
                <w:color w:val="auto"/>
                <w:szCs w:val="21"/>
                <w:highlight w:val="none"/>
              </w:rPr>
              <w:t>采购代理服务费金额、交纳方式和时限</w:t>
            </w:r>
          </w:p>
        </w:tc>
        <w:tc>
          <w:tcPr>
            <w:tcW w:w="6095" w:type="dxa"/>
            <w:tcBorders>
              <w:top w:val="single" w:color="auto" w:sz="4" w:space="0"/>
              <w:left w:val="single" w:color="auto" w:sz="4" w:space="0"/>
              <w:bottom w:val="single" w:color="auto" w:sz="4" w:space="0"/>
              <w:right w:val="single" w:color="auto" w:sz="4" w:space="0"/>
            </w:tcBorders>
            <w:vAlign w:val="center"/>
          </w:tcPr>
          <w:p w14:paraId="31B883F6">
            <w:pPr>
              <w:autoSpaceDE w:val="0"/>
              <w:autoSpaceDN w:val="0"/>
              <w:rPr>
                <w:rFonts w:ascii="宋体" w:hAnsi="宋体" w:cs="宋体"/>
                <w:color w:val="auto"/>
                <w:szCs w:val="21"/>
                <w:highlight w:val="none"/>
              </w:rPr>
            </w:pPr>
            <w:r>
              <w:rPr>
                <w:rFonts w:hint="eastAsia" w:ascii="宋体" w:hAnsi="宋体"/>
                <w:color w:val="auto"/>
                <w:szCs w:val="21"/>
                <w:highlight w:val="none"/>
              </w:rPr>
              <w:t>□</w:t>
            </w:r>
            <w:r>
              <w:rPr>
                <w:rFonts w:hint="eastAsia" w:hAnsi="宋体"/>
                <w:color w:val="auto"/>
                <w:szCs w:val="21"/>
                <w:highlight w:val="none"/>
              </w:rPr>
              <w:t>由采购人支付</w:t>
            </w:r>
          </w:p>
          <w:p w14:paraId="2A772256">
            <w:pPr>
              <w:autoSpaceDE w:val="0"/>
              <w:autoSpaceDN w:val="0"/>
              <w:rPr>
                <w:rFonts w:ascii="宋体" w:hAnsi="宋体"/>
                <w:color w:val="auto"/>
                <w:szCs w:val="21"/>
                <w:highlight w:val="none"/>
              </w:rPr>
            </w:pPr>
            <w:r>
              <w:rPr>
                <w:rFonts w:hint="eastAsia"/>
                <w:color w:val="auto"/>
                <w:szCs w:val="21"/>
                <w:highlight w:val="none"/>
              </w:rPr>
              <w:t>■由成交人支付，具体如下：</w:t>
            </w:r>
          </w:p>
          <w:p w14:paraId="598D70BD">
            <w:pPr>
              <w:autoSpaceDE w:val="0"/>
              <w:autoSpaceDN w:val="0"/>
              <w:rPr>
                <w:rFonts w:ascii="宋体" w:hAnsi="宋体" w:cs="宋体"/>
                <w:color w:val="auto"/>
                <w:szCs w:val="21"/>
                <w:highlight w:val="none"/>
              </w:rPr>
            </w:pPr>
            <w:r>
              <w:rPr>
                <w:rFonts w:hint="eastAsia" w:ascii="宋体" w:hAnsi="宋体"/>
                <w:b/>
                <w:color w:val="auto"/>
                <w:szCs w:val="21"/>
                <w:highlight w:val="none"/>
              </w:rPr>
              <w:t>采购代理服务费的金额：</w:t>
            </w:r>
            <w:r>
              <w:rPr>
                <w:rFonts w:hint="eastAsia" w:ascii="宋体" w:hAnsi="宋体"/>
                <w:b/>
                <w:color w:val="auto"/>
                <w:szCs w:val="21"/>
                <w:highlight w:val="none"/>
                <w:u w:val="single"/>
              </w:rPr>
              <w:t xml:space="preserve">人民币 </w:t>
            </w:r>
            <w:r>
              <w:rPr>
                <w:rFonts w:hint="eastAsia" w:ascii="宋体" w:hAnsi="宋体"/>
                <w:b/>
                <w:color w:val="auto"/>
                <w:szCs w:val="21"/>
                <w:highlight w:val="none"/>
                <w:u w:val="single"/>
                <w:lang w:val="en-US" w:eastAsia="zh-CN"/>
              </w:rPr>
              <w:t>1,500.00</w:t>
            </w:r>
            <w:r>
              <w:rPr>
                <w:rFonts w:hint="eastAsia" w:ascii="宋体" w:hAnsi="宋体"/>
                <w:b/>
                <w:color w:val="auto"/>
                <w:szCs w:val="21"/>
                <w:highlight w:val="none"/>
                <w:u w:val="single"/>
              </w:rPr>
              <w:t>元</w:t>
            </w:r>
            <w:r>
              <w:rPr>
                <w:rFonts w:hint="eastAsia" w:ascii="宋体" w:hAnsi="宋体"/>
                <w:b/>
                <w:color w:val="auto"/>
                <w:szCs w:val="21"/>
                <w:highlight w:val="none"/>
                <w:u w:val="single"/>
                <w:lang w:val="en-US" w:eastAsia="zh-CN"/>
              </w:rPr>
              <w:t xml:space="preserve"> / 标包</w:t>
            </w:r>
            <w:r>
              <w:rPr>
                <w:rFonts w:hint="eastAsia" w:ascii="宋体" w:hAnsi="宋体"/>
                <w:b/>
                <w:color w:val="auto"/>
                <w:szCs w:val="21"/>
                <w:highlight w:val="none"/>
              </w:rPr>
              <w:t>。</w:t>
            </w:r>
          </w:p>
          <w:p w14:paraId="6198BEFD">
            <w:pPr>
              <w:autoSpaceDE w:val="0"/>
              <w:autoSpaceDN w:val="0"/>
              <w:rPr>
                <w:rFonts w:ascii="宋体" w:hAnsi="宋体" w:cs="宋体"/>
                <w:color w:val="auto"/>
                <w:szCs w:val="21"/>
                <w:highlight w:val="none"/>
              </w:rPr>
            </w:pPr>
            <w:r>
              <w:rPr>
                <w:rFonts w:hint="eastAsia" w:ascii="宋体" w:hAnsi="宋体" w:cs="宋体"/>
                <w:color w:val="auto"/>
                <w:szCs w:val="21"/>
                <w:highlight w:val="none"/>
              </w:rPr>
              <w:t>交纳方式：</w:t>
            </w:r>
            <w:r>
              <w:rPr>
                <w:rFonts w:hint="eastAsia" w:ascii="宋体" w:hAnsi="宋体" w:cs="宋体"/>
                <w:color w:val="auto"/>
                <w:szCs w:val="21"/>
                <w:highlight w:val="none"/>
                <w:u w:val="single"/>
              </w:rPr>
              <w:t>详见第六章响应文件格式</w:t>
            </w:r>
          </w:p>
          <w:p w14:paraId="24B3C13D">
            <w:pPr>
              <w:autoSpaceDE w:val="0"/>
              <w:autoSpaceDN w:val="0"/>
              <w:rPr>
                <w:rFonts w:ascii="宋体" w:hAnsi="宋体"/>
                <w:color w:val="auto"/>
                <w:szCs w:val="21"/>
                <w:highlight w:val="none"/>
              </w:rPr>
            </w:pPr>
            <w:r>
              <w:rPr>
                <w:rFonts w:hint="eastAsia" w:ascii="宋体" w:hAnsi="宋体" w:cs="宋体"/>
                <w:color w:val="auto"/>
                <w:szCs w:val="21"/>
                <w:highlight w:val="none"/>
              </w:rPr>
              <w:t>交纳时限：</w:t>
            </w:r>
            <w:r>
              <w:rPr>
                <w:rFonts w:hint="eastAsia" w:ascii="宋体" w:hAnsi="宋体" w:cs="宋体"/>
                <w:color w:val="auto"/>
                <w:szCs w:val="21"/>
                <w:highlight w:val="none"/>
                <w:u w:val="single"/>
              </w:rPr>
              <w:t>详见第六章响应文件格式</w:t>
            </w:r>
          </w:p>
        </w:tc>
      </w:tr>
    </w:tbl>
    <w:p w14:paraId="5922CCB2">
      <w:pPr>
        <w:widowControl/>
        <w:jc w:val="left"/>
        <w:rPr>
          <w:b/>
          <w:color w:val="auto"/>
          <w:highlight w:val="none"/>
        </w:rPr>
      </w:pPr>
    </w:p>
    <w:p w14:paraId="4DEF0AD0">
      <w:pPr>
        <w:widowControl/>
        <w:jc w:val="left"/>
        <w:rPr>
          <w:b/>
          <w:color w:val="auto"/>
          <w:highlight w:val="none"/>
        </w:rPr>
      </w:pPr>
      <w:r>
        <w:rPr>
          <w:b/>
          <w:color w:val="auto"/>
          <w:highlight w:val="none"/>
        </w:rPr>
        <w:br w:type="page"/>
      </w:r>
    </w:p>
    <w:p w14:paraId="4DDFC244">
      <w:pPr>
        <w:pStyle w:val="6"/>
        <w:rPr>
          <w:rFonts w:ascii="黑体" w:hAnsi="黑体"/>
          <w:color w:val="auto"/>
          <w:highlight w:val="none"/>
        </w:rPr>
      </w:pPr>
      <w:bookmarkStart w:id="8" w:name="_Toc456551876"/>
      <w:bookmarkStart w:id="9" w:name="_Toc15744"/>
      <w:r>
        <w:rPr>
          <w:rFonts w:hint="eastAsia" w:ascii="黑体" w:hAnsi="黑体"/>
          <w:color w:val="auto"/>
          <w:highlight w:val="none"/>
        </w:rPr>
        <w:t>1. 总则</w:t>
      </w:r>
      <w:bookmarkEnd w:id="8"/>
      <w:bookmarkEnd w:id="9"/>
    </w:p>
    <w:p w14:paraId="593C614C">
      <w:pPr>
        <w:spacing w:line="400" w:lineRule="exact"/>
        <w:rPr>
          <w:rFonts w:ascii="宋体" w:hAnsi="宋体"/>
          <w:b/>
          <w:color w:val="auto"/>
          <w:sz w:val="32"/>
          <w:szCs w:val="32"/>
          <w:highlight w:val="none"/>
        </w:rPr>
      </w:pPr>
      <w:bookmarkStart w:id="10" w:name="_Toc456551877"/>
      <w:bookmarkStart w:id="11" w:name="_Toc475552123"/>
      <w:r>
        <w:rPr>
          <w:rFonts w:hint="eastAsia" w:ascii="宋体" w:hAnsi="宋体"/>
          <w:b/>
          <w:color w:val="auto"/>
          <w:sz w:val="32"/>
          <w:szCs w:val="32"/>
          <w:highlight w:val="none"/>
        </w:rPr>
        <w:t>1.1 项目概况</w:t>
      </w:r>
      <w:bookmarkEnd w:id="10"/>
      <w:bookmarkEnd w:id="11"/>
    </w:p>
    <w:p w14:paraId="6342F193">
      <w:pPr>
        <w:spacing w:line="400" w:lineRule="exact"/>
        <w:ind w:firstLine="420" w:firstLineChars="200"/>
        <w:rPr>
          <w:color w:val="auto"/>
          <w:highlight w:val="none"/>
        </w:rPr>
      </w:pPr>
      <w:r>
        <w:rPr>
          <w:rFonts w:hint="eastAsia"/>
          <w:color w:val="auto"/>
          <w:highlight w:val="none"/>
        </w:rPr>
        <w:t>1.1.1本项目根据东实集团及采购人相关招标采购管理规定执行，本项目已具备竞争性谈判条件，现对本项目进行竞争性谈判。</w:t>
      </w:r>
    </w:p>
    <w:p w14:paraId="7F4F2B94">
      <w:pPr>
        <w:spacing w:line="400" w:lineRule="exact"/>
        <w:ind w:firstLine="420" w:firstLineChars="200"/>
        <w:rPr>
          <w:color w:val="auto"/>
          <w:highlight w:val="none"/>
        </w:rPr>
      </w:pPr>
      <w:r>
        <w:rPr>
          <w:rFonts w:hint="eastAsia"/>
          <w:color w:val="auto"/>
          <w:highlight w:val="none"/>
        </w:rPr>
        <w:t>1.1.2 本项目采购人：见竞争性谈判公告或竞争性谈判响应须知前附表。</w:t>
      </w:r>
    </w:p>
    <w:p w14:paraId="574448B0">
      <w:pPr>
        <w:spacing w:line="400" w:lineRule="exact"/>
        <w:ind w:firstLine="420" w:firstLineChars="200"/>
        <w:rPr>
          <w:color w:val="auto"/>
          <w:highlight w:val="none"/>
        </w:rPr>
      </w:pPr>
      <w:r>
        <w:rPr>
          <w:rFonts w:hint="eastAsia"/>
          <w:color w:val="auto"/>
          <w:highlight w:val="none"/>
        </w:rPr>
        <w:t>1.1.3 本项目名称：见竞争性谈判公告或竞争性谈判响应须知前附表。</w:t>
      </w:r>
    </w:p>
    <w:p w14:paraId="3E14B789">
      <w:pPr>
        <w:spacing w:line="400" w:lineRule="exact"/>
        <w:ind w:firstLine="420" w:firstLineChars="200"/>
        <w:rPr>
          <w:color w:val="auto"/>
          <w:highlight w:val="none"/>
        </w:rPr>
      </w:pPr>
      <w:r>
        <w:rPr>
          <w:rFonts w:hint="eastAsia"/>
          <w:color w:val="auto"/>
          <w:highlight w:val="none"/>
        </w:rPr>
        <w:t>1.1.4 本项目地点：见竞争性谈判公告或竞争性谈判响应须知前附表。</w:t>
      </w:r>
    </w:p>
    <w:p w14:paraId="63F2ADE7">
      <w:pPr>
        <w:spacing w:line="400" w:lineRule="exact"/>
        <w:ind w:firstLine="420" w:firstLineChars="200"/>
        <w:rPr>
          <w:color w:val="auto"/>
          <w:highlight w:val="none"/>
        </w:rPr>
      </w:pPr>
      <w:r>
        <w:rPr>
          <w:rFonts w:hint="eastAsia"/>
          <w:color w:val="auto"/>
          <w:highlight w:val="none"/>
        </w:rPr>
        <w:t>1.1.5本项目承包方式：见竞争性谈判公告或竞争性谈判响应须知前附表。</w:t>
      </w:r>
    </w:p>
    <w:p w14:paraId="23764EB6">
      <w:pPr>
        <w:spacing w:line="400" w:lineRule="exact"/>
        <w:rPr>
          <w:rFonts w:ascii="宋体" w:hAnsi="宋体"/>
          <w:b/>
          <w:color w:val="auto"/>
          <w:sz w:val="32"/>
          <w:szCs w:val="32"/>
          <w:highlight w:val="none"/>
        </w:rPr>
      </w:pPr>
      <w:bookmarkStart w:id="12" w:name="_Toc475552124"/>
      <w:bookmarkStart w:id="13" w:name="_Toc456551878"/>
      <w:r>
        <w:rPr>
          <w:rFonts w:hint="eastAsia" w:ascii="宋体" w:hAnsi="宋体"/>
          <w:b/>
          <w:color w:val="auto"/>
          <w:sz w:val="32"/>
          <w:szCs w:val="32"/>
          <w:highlight w:val="none"/>
        </w:rPr>
        <w:t>1.2 资金来源和落实情况</w:t>
      </w:r>
      <w:bookmarkEnd w:id="12"/>
      <w:bookmarkEnd w:id="13"/>
    </w:p>
    <w:p w14:paraId="0BEA7216">
      <w:pPr>
        <w:spacing w:line="400" w:lineRule="exact"/>
        <w:ind w:firstLine="420" w:firstLineChars="200"/>
        <w:rPr>
          <w:color w:val="auto"/>
          <w:highlight w:val="none"/>
        </w:rPr>
      </w:pPr>
      <w:r>
        <w:rPr>
          <w:rFonts w:hint="eastAsia"/>
          <w:color w:val="auto"/>
          <w:highlight w:val="none"/>
        </w:rPr>
        <w:t>本项目资金已落实，资金来源见竞争性谈判公告或竞争性谈判响应须知前附表。</w:t>
      </w:r>
    </w:p>
    <w:p w14:paraId="7E664284">
      <w:pPr>
        <w:spacing w:line="400" w:lineRule="exact"/>
        <w:rPr>
          <w:rFonts w:ascii="宋体" w:hAnsi="宋体"/>
          <w:b/>
          <w:color w:val="auto"/>
          <w:sz w:val="32"/>
          <w:szCs w:val="32"/>
          <w:highlight w:val="none"/>
        </w:rPr>
      </w:pPr>
      <w:bookmarkStart w:id="14" w:name="_Toc475552125"/>
      <w:bookmarkStart w:id="15" w:name="_Toc456551879"/>
      <w:r>
        <w:rPr>
          <w:rFonts w:hint="eastAsia" w:ascii="宋体" w:hAnsi="宋体"/>
          <w:b/>
          <w:color w:val="auto"/>
          <w:sz w:val="32"/>
          <w:szCs w:val="32"/>
          <w:highlight w:val="none"/>
        </w:rPr>
        <w:t>1.3 竞争性谈判范围、服务时间和质量要求</w:t>
      </w:r>
      <w:bookmarkEnd w:id="14"/>
      <w:bookmarkEnd w:id="15"/>
    </w:p>
    <w:p w14:paraId="62D6B720">
      <w:pPr>
        <w:spacing w:line="400" w:lineRule="exact"/>
        <w:ind w:firstLine="420" w:firstLineChars="200"/>
        <w:rPr>
          <w:color w:val="auto"/>
          <w:highlight w:val="none"/>
        </w:rPr>
      </w:pPr>
      <w:r>
        <w:rPr>
          <w:rFonts w:hint="eastAsia"/>
          <w:color w:val="auto"/>
          <w:highlight w:val="none"/>
        </w:rPr>
        <w:t>1.3.1 本次竞争性谈判范围：见竞争性谈判公告或竞争性谈判响应须知前附表。</w:t>
      </w:r>
    </w:p>
    <w:p w14:paraId="4D73DB69">
      <w:pPr>
        <w:spacing w:line="400" w:lineRule="exact"/>
        <w:ind w:firstLine="420" w:firstLineChars="200"/>
        <w:rPr>
          <w:color w:val="auto"/>
          <w:highlight w:val="none"/>
        </w:rPr>
      </w:pPr>
      <w:r>
        <w:rPr>
          <w:rFonts w:hint="eastAsia"/>
          <w:color w:val="auto"/>
          <w:highlight w:val="none"/>
        </w:rPr>
        <w:t>1.3.2 本项目的服务时间：见竞争性谈判公告或竞争性谈判响应须知前附表。</w:t>
      </w:r>
    </w:p>
    <w:p w14:paraId="42FC9EB9">
      <w:pPr>
        <w:spacing w:line="400" w:lineRule="exact"/>
        <w:ind w:firstLine="420" w:firstLineChars="200"/>
        <w:rPr>
          <w:color w:val="auto"/>
          <w:highlight w:val="none"/>
        </w:rPr>
      </w:pPr>
      <w:r>
        <w:rPr>
          <w:rFonts w:hint="eastAsia"/>
          <w:color w:val="auto"/>
          <w:highlight w:val="none"/>
        </w:rPr>
        <w:t>1.3.4 本项目的标包划分情况：见竞争性谈判公告或竞争性谈判响应须知前附表。</w:t>
      </w:r>
    </w:p>
    <w:p w14:paraId="7B080137">
      <w:pPr>
        <w:spacing w:line="400" w:lineRule="exact"/>
        <w:ind w:firstLine="420" w:firstLineChars="200"/>
        <w:rPr>
          <w:color w:val="auto"/>
          <w:highlight w:val="none"/>
        </w:rPr>
      </w:pPr>
      <w:r>
        <w:rPr>
          <w:rFonts w:hint="eastAsia"/>
          <w:color w:val="auto"/>
          <w:highlight w:val="none"/>
        </w:rPr>
        <w:t>1.3.5本项目的质量要求：见竞争性谈判公告或竞争性谈判响应须知前附表。</w:t>
      </w:r>
    </w:p>
    <w:p w14:paraId="06BAE62D">
      <w:pPr>
        <w:spacing w:line="400" w:lineRule="exact"/>
        <w:rPr>
          <w:rFonts w:ascii="宋体" w:hAnsi="宋体"/>
          <w:b/>
          <w:color w:val="auto"/>
          <w:sz w:val="32"/>
          <w:szCs w:val="32"/>
          <w:highlight w:val="none"/>
        </w:rPr>
      </w:pPr>
      <w:bookmarkStart w:id="16" w:name="_Toc475552126"/>
      <w:bookmarkStart w:id="17" w:name="_Toc456551880"/>
      <w:r>
        <w:rPr>
          <w:rFonts w:hint="eastAsia" w:ascii="宋体" w:hAnsi="宋体"/>
          <w:b/>
          <w:color w:val="auto"/>
          <w:sz w:val="32"/>
          <w:szCs w:val="32"/>
          <w:highlight w:val="none"/>
        </w:rPr>
        <w:t>1.4 竞争性谈判方式</w:t>
      </w:r>
      <w:bookmarkEnd w:id="16"/>
      <w:bookmarkEnd w:id="17"/>
    </w:p>
    <w:p w14:paraId="1FAAFC27">
      <w:pPr>
        <w:adjustRightInd w:val="0"/>
        <w:snapToGrid w:val="0"/>
        <w:spacing w:line="440" w:lineRule="exact"/>
        <w:ind w:firstLine="420" w:firstLineChars="200"/>
        <w:rPr>
          <w:color w:val="auto"/>
          <w:highlight w:val="none"/>
        </w:rPr>
      </w:pPr>
      <w:r>
        <w:rPr>
          <w:rFonts w:hint="eastAsia"/>
          <w:color w:val="auto"/>
          <w:highlight w:val="none"/>
        </w:rPr>
        <w:t>公开竞争性谈判：</w:t>
      </w:r>
      <w:r>
        <w:rPr>
          <w:rFonts w:ascii="Arial" w:hAnsi="Arial" w:cs="Arial"/>
          <w:color w:val="auto"/>
          <w:szCs w:val="21"/>
          <w:highlight w:val="none"/>
        </w:rPr>
        <w:t>是指采购人以竞争性谈判公告的方式邀请不特定的法人或者其他组织竞争性谈判。</w:t>
      </w:r>
    </w:p>
    <w:p w14:paraId="42B7E149">
      <w:pPr>
        <w:spacing w:line="400" w:lineRule="exact"/>
        <w:rPr>
          <w:rFonts w:ascii="宋体" w:hAnsi="宋体"/>
          <w:b/>
          <w:color w:val="auto"/>
          <w:sz w:val="32"/>
          <w:szCs w:val="32"/>
          <w:highlight w:val="none"/>
        </w:rPr>
      </w:pPr>
      <w:bookmarkStart w:id="18" w:name="_Toc475552127"/>
      <w:bookmarkStart w:id="19" w:name="_Toc456551881"/>
      <w:r>
        <w:rPr>
          <w:rFonts w:hint="eastAsia" w:ascii="宋体" w:hAnsi="宋体"/>
          <w:b/>
          <w:color w:val="auto"/>
          <w:sz w:val="32"/>
          <w:szCs w:val="32"/>
          <w:highlight w:val="none"/>
        </w:rPr>
        <w:t>1.5 竞争性谈判组织形式</w:t>
      </w:r>
      <w:bookmarkEnd w:id="18"/>
      <w:bookmarkEnd w:id="19"/>
    </w:p>
    <w:p w14:paraId="2DEFB9B2">
      <w:pPr>
        <w:adjustRightInd w:val="0"/>
        <w:snapToGrid w:val="0"/>
        <w:spacing w:line="440" w:lineRule="exact"/>
        <w:ind w:firstLine="420" w:firstLineChars="200"/>
        <w:rPr>
          <w:color w:val="auto"/>
          <w:highlight w:val="none"/>
        </w:rPr>
      </w:pPr>
      <w:r>
        <w:rPr>
          <w:rFonts w:hint="eastAsia"/>
          <w:color w:val="auto"/>
          <w:highlight w:val="none"/>
        </w:rPr>
        <w:t>本次竞争性谈判由采购人自行组织或委托采购代理机构的方式进行，竞争性谈判组织形式、代理机构名称及联系方式见</w:t>
      </w:r>
      <w:r>
        <w:rPr>
          <w:rFonts w:hint="eastAsia"/>
          <w:bCs/>
          <w:color w:val="auto"/>
          <w:highlight w:val="none"/>
        </w:rPr>
        <w:t>第一章 “竞争性谈判公告”</w:t>
      </w:r>
      <w:r>
        <w:rPr>
          <w:rFonts w:hint="eastAsia"/>
          <w:color w:val="auto"/>
          <w:highlight w:val="none"/>
        </w:rPr>
        <w:t>。</w:t>
      </w:r>
    </w:p>
    <w:p w14:paraId="7C210EBC">
      <w:pPr>
        <w:spacing w:line="400" w:lineRule="exact"/>
        <w:rPr>
          <w:rFonts w:ascii="宋体" w:hAnsi="宋体"/>
          <w:b/>
          <w:color w:val="auto"/>
          <w:sz w:val="32"/>
          <w:szCs w:val="32"/>
          <w:highlight w:val="none"/>
        </w:rPr>
      </w:pPr>
      <w:bookmarkStart w:id="20" w:name="_Toc475552128"/>
      <w:bookmarkStart w:id="21" w:name="_Toc456551882"/>
      <w:r>
        <w:rPr>
          <w:rFonts w:hint="eastAsia" w:ascii="宋体" w:hAnsi="宋体"/>
          <w:b/>
          <w:color w:val="auto"/>
          <w:sz w:val="32"/>
          <w:szCs w:val="32"/>
          <w:highlight w:val="none"/>
        </w:rPr>
        <w:t>1.6</w:t>
      </w:r>
      <w:bookmarkEnd w:id="20"/>
      <w:bookmarkEnd w:id="21"/>
      <w:r>
        <w:rPr>
          <w:rFonts w:hint="eastAsia" w:ascii="宋体" w:hAnsi="宋体"/>
          <w:b/>
          <w:color w:val="auto"/>
          <w:sz w:val="32"/>
          <w:szCs w:val="32"/>
          <w:highlight w:val="none"/>
        </w:rPr>
        <w:t>响应人资格要求</w:t>
      </w:r>
    </w:p>
    <w:p w14:paraId="0F9DAAD7">
      <w:pPr>
        <w:spacing w:line="400" w:lineRule="exact"/>
        <w:ind w:firstLine="359" w:firstLineChars="171"/>
        <w:rPr>
          <w:color w:val="auto"/>
          <w:highlight w:val="none"/>
        </w:rPr>
      </w:pPr>
      <w:r>
        <w:rPr>
          <w:rFonts w:hint="eastAsia"/>
          <w:color w:val="auto"/>
          <w:highlight w:val="none"/>
        </w:rPr>
        <w:t>1.6.1</w:t>
      </w:r>
      <w:r>
        <w:rPr>
          <w:rFonts w:hint="eastAsia" w:ascii="宋体" w:hAnsi="宋体" w:cs="宋体"/>
          <w:color w:val="auto"/>
          <w:szCs w:val="21"/>
          <w:highlight w:val="none"/>
        </w:rPr>
        <w:t>响应人应具备承担本项目服务的资格要求：</w:t>
      </w:r>
      <w:r>
        <w:rPr>
          <w:rFonts w:hint="eastAsia"/>
          <w:color w:val="auto"/>
          <w:highlight w:val="none"/>
        </w:rPr>
        <w:t>见竞争性谈判公告或竞争性谈判响应须知前附表。</w:t>
      </w:r>
    </w:p>
    <w:p w14:paraId="77B67E00">
      <w:pPr>
        <w:spacing w:line="400" w:lineRule="exact"/>
        <w:ind w:firstLine="359" w:firstLineChars="171"/>
        <w:rPr>
          <w:color w:val="auto"/>
          <w:highlight w:val="none"/>
        </w:rPr>
      </w:pPr>
      <w:r>
        <w:rPr>
          <w:rFonts w:hint="eastAsia"/>
          <w:color w:val="auto"/>
          <w:highlight w:val="none"/>
        </w:rPr>
        <w:t>1.6.2</w:t>
      </w:r>
      <w:r>
        <w:rPr>
          <w:rFonts w:hint="eastAsia" w:ascii="宋体" w:hAnsi="宋体" w:cs="宋体"/>
          <w:color w:val="auto"/>
          <w:szCs w:val="21"/>
          <w:highlight w:val="none"/>
        </w:rPr>
        <w:t>本项目采用资格后审的审查方式</w:t>
      </w:r>
      <w:r>
        <w:rPr>
          <w:rFonts w:hint="eastAsia"/>
          <w:color w:val="auto"/>
          <w:highlight w:val="none"/>
        </w:rPr>
        <w:t>。</w:t>
      </w:r>
    </w:p>
    <w:p w14:paraId="6F82ACEB">
      <w:pPr>
        <w:spacing w:line="400" w:lineRule="exact"/>
        <w:ind w:firstLine="359" w:firstLineChars="171"/>
        <w:rPr>
          <w:color w:val="auto"/>
          <w:highlight w:val="none"/>
        </w:rPr>
      </w:pPr>
      <w:r>
        <w:rPr>
          <w:rFonts w:hint="eastAsia"/>
          <w:color w:val="auto"/>
          <w:highlight w:val="none"/>
        </w:rPr>
        <w:t>1.6.3本须知前附表规定接受联合体响应的，除本须知前附表的要求外，还应遵守以下规定：</w:t>
      </w:r>
    </w:p>
    <w:p w14:paraId="0720D92E">
      <w:pPr>
        <w:spacing w:line="400" w:lineRule="exact"/>
        <w:ind w:firstLine="359" w:firstLineChars="171"/>
        <w:rPr>
          <w:color w:val="auto"/>
          <w:highlight w:val="none"/>
        </w:rPr>
      </w:pPr>
      <w:r>
        <w:rPr>
          <w:rFonts w:hint="eastAsia"/>
          <w:color w:val="auto"/>
          <w:highlight w:val="none"/>
        </w:rPr>
        <w:t>（1）联合体各方应按竞争性谈判文件提供的格式签订联合体协议书，明确联合体牵头人和各方权利义务；</w:t>
      </w:r>
    </w:p>
    <w:p w14:paraId="320DC5D9">
      <w:pPr>
        <w:spacing w:line="400" w:lineRule="exact"/>
        <w:ind w:firstLine="359" w:firstLineChars="171"/>
        <w:rPr>
          <w:color w:val="auto"/>
          <w:highlight w:val="none"/>
        </w:rPr>
      </w:pPr>
      <w:r>
        <w:rPr>
          <w:rFonts w:hint="eastAsia"/>
          <w:color w:val="auto"/>
          <w:highlight w:val="none"/>
        </w:rPr>
        <w:t>（2）联合体各方不得再以自己名义单独或参加其他联合体在同一标包中响应；</w:t>
      </w:r>
    </w:p>
    <w:p w14:paraId="05E5C388">
      <w:pPr>
        <w:spacing w:line="400" w:lineRule="exact"/>
        <w:ind w:firstLine="359" w:firstLineChars="171"/>
        <w:rPr>
          <w:color w:val="auto"/>
          <w:highlight w:val="none"/>
        </w:rPr>
      </w:pPr>
      <w:r>
        <w:rPr>
          <w:rFonts w:hint="eastAsia"/>
          <w:color w:val="auto"/>
          <w:highlight w:val="none"/>
        </w:rPr>
        <w:t>（3）联合体牵头人须在响应文件上按要求加盖公司法人公章及法定代表人签名（或盖私章），无需联合体共同加盖公司法人公章及法定代表人签名（或盖私章）；</w:t>
      </w:r>
    </w:p>
    <w:p w14:paraId="5A50A0C0">
      <w:pPr>
        <w:spacing w:line="400" w:lineRule="exact"/>
        <w:ind w:firstLine="359" w:firstLineChars="171"/>
        <w:rPr>
          <w:rFonts w:hAnsi="宋体"/>
          <w:color w:val="auto"/>
          <w:highlight w:val="none"/>
        </w:rPr>
      </w:pPr>
      <w:r>
        <w:rPr>
          <w:rFonts w:hint="eastAsia"/>
          <w:color w:val="auto"/>
          <w:highlight w:val="none"/>
        </w:rPr>
        <w:t>（4）本须知前附表规定的其他要求。</w:t>
      </w:r>
    </w:p>
    <w:p w14:paraId="4AF41DB4">
      <w:pPr>
        <w:spacing w:line="400" w:lineRule="exact"/>
        <w:rPr>
          <w:rFonts w:ascii="宋体" w:hAnsi="宋体"/>
          <w:b/>
          <w:color w:val="auto"/>
          <w:sz w:val="32"/>
          <w:szCs w:val="32"/>
          <w:highlight w:val="none"/>
        </w:rPr>
      </w:pPr>
      <w:bookmarkStart w:id="22" w:name="_Toc475552129"/>
      <w:bookmarkStart w:id="23" w:name="_Toc456551883"/>
      <w:r>
        <w:rPr>
          <w:rFonts w:hint="eastAsia" w:ascii="宋体" w:hAnsi="宋体"/>
          <w:b/>
          <w:color w:val="auto"/>
          <w:sz w:val="32"/>
          <w:szCs w:val="32"/>
          <w:highlight w:val="none"/>
        </w:rPr>
        <w:t>1.</w:t>
      </w:r>
      <w:r>
        <w:rPr>
          <w:rFonts w:ascii="宋体" w:hAnsi="宋体"/>
          <w:b/>
          <w:color w:val="auto"/>
          <w:sz w:val="32"/>
          <w:szCs w:val="32"/>
          <w:highlight w:val="none"/>
        </w:rPr>
        <w:t>7</w:t>
      </w:r>
      <w:r>
        <w:rPr>
          <w:rFonts w:hint="eastAsia" w:ascii="宋体" w:hAnsi="宋体"/>
          <w:b/>
          <w:color w:val="auto"/>
          <w:sz w:val="32"/>
          <w:szCs w:val="32"/>
          <w:highlight w:val="none"/>
        </w:rPr>
        <w:t xml:space="preserve"> 响应人不得存在的情形</w:t>
      </w:r>
      <w:bookmarkEnd w:id="22"/>
      <w:bookmarkEnd w:id="23"/>
    </w:p>
    <w:p w14:paraId="5C2D4308">
      <w:pPr>
        <w:spacing w:line="400" w:lineRule="exact"/>
        <w:ind w:firstLine="359" w:firstLineChars="171"/>
        <w:rPr>
          <w:color w:val="auto"/>
          <w:highlight w:val="none"/>
        </w:rPr>
      </w:pPr>
      <w:r>
        <w:rPr>
          <w:rFonts w:hint="eastAsia"/>
          <w:color w:val="auto"/>
          <w:highlight w:val="none"/>
        </w:rPr>
        <w:t>1.</w:t>
      </w:r>
      <w:r>
        <w:rPr>
          <w:color w:val="auto"/>
          <w:highlight w:val="none"/>
        </w:rPr>
        <w:t>7</w:t>
      </w:r>
      <w:r>
        <w:rPr>
          <w:rFonts w:hint="eastAsia"/>
          <w:color w:val="auto"/>
          <w:highlight w:val="none"/>
        </w:rPr>
        <w:t>.1 响应人不得存在下列情形之一，否则采购人有权取消其参与响应资格或成交资格：</w:t>
      </w:r>
    </w:p>
    <w:p w14:paraId="4780B75F">
      <w:pPr>
        <w:spacing w:line="400" w:lineRule="exact"/>
        <w:ind w:firstLine="359" w:firstLineChars="171"/>
        <w:rPr>
          <w:color w:val="auto"/>
          <w:highlight w:val="none"/>
        </w:rPr>
      </w:pPr>
      <w:r>
        <w:rPr>
          <w:rFonts w:hint="eastAsia"/>
          <w:color w:val="auto"/>
          <w:highlight w:val="none"/>
        </w:rPr>
        <w:t>（1）为采购人不具有独立法人资格的附属机构（单位）；</w:t>
      </w:r>
    </w:p>
    <w:p w14:paraId="3925F736">
      <w:pPr>
        <w:spacing w:line="400" w:lineRule="exact"/>
        <w:ind w:firstLine="359" w:firstLineChars="171"/>
        <w:rPr>
          <w:color w:val="auto"/>
          <w:highlight w:val="none"/>
        </w:rPr>
      </w:pPr>
      <w:r>
        <w:rPr>
          <w:rFonts w:hint="eastAsia"/>
          <w:color w:val="auto"/>
          <w:highlight w:val="none"/>
        </w:rPr>
        <w:t>（</w:t>
      </w:r>
      <w:r>
        <w:rPr>
          <w:color w:val="auto"/>
          <w:highlight w:val="none"/>
        </w:rPr>
        <w:t>2</w:t>
      </w:r>
      <w:r>
        <w:rPr>
          <w:rFonts w:hint="eastAsia"/>
          <w:color w:val="auto"/>
          <w:highlight w:val="none"/>
        </w:rPr>
        <w:t xml:space="preserve">）被责令停业的； </w:t>
      </w:r>
    </w:p>
    <w:p w14:paraId="4219E8E4">
      <w:pPr>
        <w:spacing w:line="400" w:lineRule="exact"/>
        <w:ind w:firstLine="359" w:firstLineChars="171"/>
        <w:rPr>
          <w:color w:val="auto"/>
          <w:highlight w:val="none"/>
        </w:rPr>
      </w:pPr>
      <w:r>
        <w:rPr>
          <w:rFonts w:hint="eastAsia"/>
          <w:color w:val="auto"/>
          <w:highlight w:val="none"/>
        </w:rPr>
        <w:t>（</w:t>
      </w:r>
      <w:r>
        <w:rPr>
          <w:color w:val="auto"/>
          <w:highlight w:val="none"/>
        </w:rPr>
        <w:t>3</w:t>
      </w:r>
      <w:r>
        <w:rPr>
          <w:rFonts w:hint="eastAsia"/>
          <w:color w:val="auto"/>
          <w:highlight w:val="none"/>
        </w:rPr>
        <w:t xml:space="preserve">）被暂停或取消投标资格的； </w:t>
      </w:r>
    </w:p>
    <w:p w14:paraId="3179033F">
      <w:pPr>
        <w:spacing w:line="400" w:lineRule="exact"/>
        <w:ind w:firstLine="359" w:firstLineChars="171"/>
        <w:rPr>
          <w:color w:val="auto"/>
          <w:highlight w:val="none"/>
        </w:rPr>
      </w:pPr>
      <w:r>
        <w:rPr>
          <w:rFonts w:hint="eastAsia"/>
          <w:color w:val="auto"/>
          <w:highlight w:val="none"/>
        </w:rPr>
        <w:t>（</w:t>
      </w:r>
      <w:r>
        <w:rPr>
          <w:color w:val="auto"/>
          <w:highlight w:val="none"/>
        </w:rPr>
        <w:t>4</w:t>
      </w:r>
      <w:r>
        <w:rPr>
          <w:rFonts w:hint="eastAsia"/>
          <w:color w:val="auto"/>
          <w:highlight w:val="none"/>
        </w:rPr>
        <w:t>）财产被接管或冻结的；</w:t>
      </w:r>
    </w:p>
    <w:p w14:paraId="2E694933">
      <w:pPr>
        <w:spacing w:line="400" w:lineRule="exact"/>
        <w:ind w:firstLine="359" w:firstLineChars="171"/>
        <w:rPr>
          <w:color w:val="auto"/>
          <w:highlight w:val="none"/>
        </w:rPr>
      </w:pPr>
      <w:r>
        <w:rPr>
          <w:rFonts w:hint="eastAsia"/>
          <w:color w:val="auto"/>
          <w:highlight w:val="none"/>
        </w:rPr>
        <w:t>（</w:t>
      </w:r>
      <w:r>
        <w:rPr>
          <w:color w:val="auto"/>
          <w:highlight w:val="none"/>
        </w:rPr>
        <w:t>5</w:t>
      </w:r>
      <w:r>
        <w:rPr>
          <w:rFonts w:hint="eastAsia"/>
          <w:color w:val="auto"/>
          <w:highlight w:val="none"/>
        </w:rPr>
        <w:t>）在最近三年内有骗取中标、严重违约、重大质量或安全问题的；</w:t>
      </w:r>
    </w:p>
    <w:p w14:paraId="604088B8">
      <w:pPr>
        <w:spacing w:line="400" w:lineRule="exact"/>
        <w:ind w:firstLine="359" w:firstLineChars="171"/>
        <w:rPr>
          <w:color w:val="auto"/>
          <w:highlight w:val="none"/>
        </w:rPr>
      </w:pPr>
      <w:r>
        <w:rPr>
          <w:rFonts w:hint="eastAsia"/>
          <w:color w:val="auto"/>
          <w:highlight w:val="none"/>
        </w:rPr>
        <w:t>（</w:t>
      </w:r>
      <w:r>
        <w:rPr>
          <w:color w:val="auto"/>
          <w:highlight w:val="none"/>
        </w:rPr>
        <w:t>6</w:t>
      </w:r>
      <w:r>
        <w:rPr>
          <w:rFonts w:hint="eastAsia"/>
          <w:color w:val="auto"/>
          <w:highlight w:val="none"/>
        </w:rPr>
        <w:t>）法律法规规定的其他情形；</w:t>
      </w:r>
    </w:p>
    <w:p w14:paraId="228E85EE">
      <w:pPr>
        <w:spacing w:line="400" w:lineRule="exact"/>
        <w:ind w:firstLine="359" w:firstLineChars="171"/>
        <w:rPr>
          <w:color w:val="auto"/>
          <w:highlight w:val="none"/>
        </w:rPr>
      </w:pPr>
      <w:r>
        <w:rPr>
          <w:rFonts w:hint="eastAsia"/>
          <w:color w:val="auto"/>
          <w:highlight w:val="none"/>
        </w:rPr>
        <w:t>（</w:t>
      </w:r>
      <w:r>
        <w:rPr>
          <w:color w:val="auto"/>
          <w:highlight w:val="none"/>
        </w:rPr>
        <w:t>7</w:t>
      </w:r>
      <w:r>
        <w:rPr>
          <w:rFonts w:hint="eastAsia"/>
          <w:color w:val="auto"/>
          <w:highlight w:val="none"/>
        </w:rPr>
        <w:t>）竞争性谈判文件规定的其他情形：见竞争性谈判公告或竞争性谈判响应须知前附表。</w:t>
      </w:r>
    </w:p>
    <w:p w14:paraId="33A9129A">
      <w:pPr>
        <w:spacing w:line="400" w:lineRule="exact"/>
        <w:ind w:firstLine="359" w:firstLineChars="171"/>
        <w:rPr>
          <w:rFonts w:hAnsi="宋体"/>
          <w:color w:val="auto"/>
          <w:szCs w:val="21"/>
          <w:highlight w:val="none"/>
        </w:rPr>
      </w:pPr>
      <w:r>
        <w:rPr>
          <w:rFonts w:hint="eastAsia"/>
          <w:color w:val="auto"/>
          <w:highlight w:val="none"/>
        </w:rPr>
        <w:t>1.</w:t>
      </w:r>
      <w:r>
        <w:rPr>
          <w:color w:val="auto"/>
          <w:highlight w:val="none"/>
        </w:rPr>
        <w:t>7</w:t>
      </w:r>
      <w:r>
        <w:rPr>
          <w:rFonts w:hint="eastAsia"/>
          <w:color w:val="auto"/>
          <w:highlight w:val="none"/>
        </w:rPr>
        <w:t>.</w:t>
      </w:r>
      <w:r>
        <w:rPr>
          <w:color w:val="auto"/>
          <w:highlight w:val="none"/>
        </w:rPr>
        <w:t>2</w:t>
      </w:r>
      <w:r>
        <w:rPr>
          <w:rFonts w:hint="eastAsia"/>
          <w:color w:val="auto"/>
          <w:highlight w:val="none"/>
        </w:rPr>
        <w:t xml:space="preserve"> </w:t>
      </w:r>
      <w:r>
        <w:rPr>
          <w:rFonts w:hint="eastAsia" w:hAnsi="宋体"/>
          <w:color w:val="auto"/>
          <w:szCs w:val="21"/>
          <w:highlight w:val="none"/>
        </w:rPr>
        <w:t>响应人在竞争性谈判活动中有下列行为之一的，应视情节轻重，暂停或取消其参与采购人及东实集团旗下采购项目的资格：</w:t>
      </w:r>
    </w:p>
    <w:p w14:paraId="3FF2FBCE">
      <w:pPr>
        <w:spacing w:line="400" w:lineRule="exact"/>
        <w:ind w:left="426"/>
        <w:rPr>
          <w:rFonts w:ascii="宋体" w:hAnsi="宋体"/>
          <w:color w:val="auto"/>
          <w:szCs w:val="21"/>
          <w:highlight w:val="none"/>
        </w:rPr>
      </w:pPr>
      <w:r>
        <w:rPr>
          <w:rFonts w:hint="eastAsia" w:ascii="宋体" w:hAnsi="宋体"/>
          <w:color w:val="auto"/>
          <w:szCs w:val="21"/>
          <w:highlight w:val="none"/>
        </w:rPr>
        <w:t xml:space="preserve">（1）响应人之间相互串通、或与采购人、代理机构、谈判小组成员串通谈判，损害采购人或者其他响应人的合法权益的； </w:t>
      </w:r>
    </w:p>
    <w:p w14:paraId="0EDAFFFD">
      <w:pPr>
        <w:spacing w:line="400" w:lineRule="exact"/>
        <w:ind w:left="426"/>
        <w:rPr>
          <w:rFonts w:ascii="宋体" w:hAnsi="宋体"/>
          <w:color w:val="auto"/>
          <w:szCs w:val="21"/>
          <w:highlight w:val="none"/>
        </w:rPr>
      </w:pPr>
      <w:r>
        <w:rPr>
          <w:rFonts w:hint="eastAsia" w:ascii="宋体" w:hAnsi="宋体"/>
          <w:color w:val="auto"/>
          <w:szCs w:val="21"/>
          <w:highlight w:val="none"/>
        </w:rPr>
        <w:t xml:space="preserve">（2）向采购人、代理机构、评审委会成员或其他相关工作人员行贿的； </w:t>
      </w:r>
    </w:p>
    <w:p w14:paraId="3A6C584C">
      <w:pPr>
        <w:spacing w:line="400" w:lineRule="exact"/>
        <w:ind w:left="426"/>
        <w:rPr>
          <w:rFonts w:ascii="宋体" w:hAnsi="宋体"/>
          <w:color w:val="auto"/>
          <w:szCs w:val="21"/>
          <w:highlight w:val="none"/>
        </w:rPr>
      </w:pPr>
      <w:r>
        <w:rPr>
          <w:rFonts w:hint="eastAsia" w:ascii="宋体" w:hAnsi="宋体"/>
          <w:color w:val="auto"/>
          <w:szCs w:val="21"/>
          <w:highlight w:val="none"/>
        </w:rPr>
        <w:t xml:space="preserve">（3）以他人名义谈判或以其他方式弄虚作假，骗取成交的； </w:t>
      </w:r>
    </w:p>
    <w:p w14:paraId="121295AE">
      <w:pPr>
        <w:spacing w:line="400" w:lineRule="exact"/>
        <w:ind w:left="426"/>
        <w:rPr>
          <w:rFonts w:ascii="宋体" w:hAnsi="宋体"/>
          <w:color w:val="auto"/>
          <w:szCs w:val="21"/>
          <w:highlight w:val="none"/>
        </w:rPr>
      </w:pPr>
      <w:r>
        <w:rPr>
          <w:rFonts w:hint="eastAsia" w:ascii="宋体" w:hAnsi="宋体"/>
          <w:color w:val="auto"/>
          <w:szCs w:val="21"/>
          <w:highlight w:val="none"/>
        </w:rPr>
        <w:t xml:space="preserve">（4）成交人私自将成交项目转让给他人的，将成交项目肢解后分别转让给他人的； </w:t>
      </w:r>
    </w:p>
    <w:p w14:paraId="442BEFEE">
      <w:pPr>
        <w:spacing w:line="400" w:lineRule="exact"/>
        <w:ind w:left="426"/>
        <w:rPr>
          <w:rFonts w:ascii="宋体" w:hAnsi="宋体"/>
          <w:color w:val="auto"/>
          <w:szCs w:val="21"/>
          <w:highlight w:val="none"/>
        </w:rPr>
      </w:pPr>
      <w:r>
        <w:rPr>
          <w:rFonts w:hint="eastAsia" w:ascii="宋体" w:hAnsi="宋体"/>
          <w:color w:val="auto"/>
          <w:szCs w:val="21"/>
          <w:highlight w:val="none"/>
        </w:rPr>
        <w:t>（5）成交人无正当理由不与采购人订立合同，在签订合同时向采购人提出附加条件，或者不按照竞争性谈判文件要求提交履约担保的；</w:t>
      </w:r>
    </w:p>
    <w:p w14:paraId="00EC9606">
      <w:pPr>
        <w:spacing w:line="400" w:lineRule="exact"/>
        <w:ind w:left="426"/>
        <w:rPr>
          <w:rFonts w:ascii="宋体" w:hAnsi="宋体"/>
          <w:color w:val="auto"/>
          <w:szCs w:val="21"/>
          <w:highlight w:val="none"/>
        </w:rPr>
      </w:pPr>
      <w:r>
        <w:rPr>
          <w:rFonts w:hint="eastAsia" w:ascii="宋体" w:hAnsi="宋体"/>
          <w:color w:val="auto"/>
          <w:szCs w:val="21"/>
          <w:highlight w:val="none"/>
        </w:rPr>
        <w:t xml:space="preserve">（6）响应人捏造事实、伪造材料或者以非法手段取得证明材料进行投诉，给他人造成损失的； </w:t>
      </w:r>
    </w:p>
    <w:p w14:paraId="6949E994">
      <w:pPr>
        <w:spacing w:line="400" w:lineRule="exact"/>
        <w:ind w:left="426"/>
        <w:rPr>
          <w:rFonts w:ascii="宋体" w:hAnsi="宋体"/>
          <w:color w:val="auto"/>
          <w:szCs w:val="21"/>
          <w:highlight w:val="none"/>
        </w:rPr>
      </w:pPr>
      <w:r>
        <w:rPr>
          <w:rFonts w:hint="eastAsia" w:ascii="宋体" w:hAnsi="宋体"/>
          <w:color w:val="auto"/>
          <w:szCs w:val="21"/>
          <w:highlight w:val="none"/>
        </w:rPr>
        <w:t xml:space="preserve">（7）相关工作人员应当回避而不回避的； </w:t>
      </w:r>
    </w:p>
    <w:p w14:paraId="2CB8F559">
      <w:pPr>
        <w:spacing w:line="400" w:lineRule="exact"/>
        <w:ind w:left="426"/>
        <w:rPr>
          <w:rFonts w:ascii="宋体" w:hAnsi="宋体"/>
          <w:color w:val="auto"/>
          <w:szCs w:val="21"/>
          <w:highlight w:val="none"/>
        </w:rPr>
      </w:pPr>
      <w:r>
        <w:rPr>
          <w:rFonts w:hint="eastAsia" w:ascii="宋体" w:hAnsi="宋体"/>
          <w:color w:val="auto"/>
          <w:szCs w:val="21"/>
          <w:highlight w:val="none"/>
        </w:rPr>
        <w:t>（8）其他违法违规的行为。</w:t>
      </w:r>
    </w:p>
    <w:p w14:paraId="6A0CA27A">
      <w:pPr>
        <w:spacing w:line="400" w:lineRule="exact"/>
        <w:ind w:left="426"/>
        <w:rPr>
          <w:rFonts w:ascii="宋体" w:hAnsi="宋体"/>
          <w:color w:val="auto"/>
          <w:szCs w:val="21"/>
          <w:highlight w:val="none"/>
        </w:rPr>
      </w:pPr>
      <w:r>
        <w:rPr>
          <w:bCs/>
          <w:color w:val="auto"/>
          <w:highlight w:val="none"/>
        </w:rPr>
        <w:t>1.7.</w:t>
      </w:r>
      <w:r>
        <w:rPr>
          <w:rFonts w:hint="eastAsia"/>
          <w:bCs/>
          <w:color w:val="auto"/>
          <w:highlight w:val="none"/>
        </w:rPr>
        <w:t>3</w:t>
      </w:r>
      <w:r>
        <w:rPr>
          <w:rFonts w:hint="eastAsia" w:ascii="宋体" w:hAnsi="宋体"/>
          <w:color w:val="auto"/>
          <w:szCs w:val="21"/>
          <w:highlight w:val="none"/>
        </w:rPr>
        <w:t>有下列情形之一的，视为响应人串通谈判，其响应无效：</w:t>
      </w:r>
    </w:p>
    <w:p w14:paraId="3298DBA2">
      <w:pPr>
        <w:spacing w:line="400" w:lineRule="exact"/>
        <w:ind w:left="426"/>
        <w:rPr>
          <w:rFonts w:ascii="宋体" w:hAnsi="宋体"/>
          <w:color w:val="auto"/>
          <w:szCs w:val="21"/>
          <w:highlight w:val="none"/>
        </w:rPr>
      </w:pPr>
      <w:r>
        <w:rPr>
          <w:rFonts w:hint="eastAsia" w:ascii="宋体" w:hAnsi="宋体"/>
          <w:color w:val="auto"/>
          <w:szCs w:val="21"/>
          <w:highlight w:val="none"/>
        </w:rPr>
        <w:t>（1）不同响应人的响应文件由同一单位或者个人编制；</w:t>
      </w:r>
    </w:p>
    <w:p w14:paraId="2DBFA394">
      <w:pPr>
        <w:spacing w:line="400" w:lineRule="exact"/>
        <w:ind w:left="426"/>
        <w:rPr>
          <w:rFonts w:ascii="宋体" w:hAnsi="宋体"/>
          <w:color w:val="auto"/>
          <w:szCs w:val="21"/>
          <w:highlight w:val="none"/>
        </w:rPr>
      </w:pPr>
      <w:r>
        <w:rPr>
          <w:rFonts w:hint="eastAsia" w:ascii="宋体" w:hAnsi="宋体"/>
          <w:color w:val="auto"/>
          <w:szCs w:val="21"/>
          <w:highlight w:val="none"/>
        </w:rPr>
        <w:t>（2）不同响应人委托同一单位或者个人办理响应事宜；</w:t>
      </w:r>
    </w:p>
    <w:p w14:paraId="2568C583">
      <w:pPr>
        <w:spacing w:line="400" w:lineRule="exact"/>
        <w:ind w:left="426"/>
        <w:rPr>
          <w:rFonts w:ascii="宋体" w:hAnsi="宋体"/>
          <w:color w:val="auto"/>
          <w:szCs w:val="21"/>
          <w:highlight w:val="none"/>
        </w:rPr>
      </w:pPr>
      <w:r>
        <w:rPr>
          <w:rFonts w:hint="eastAsia" w:ascii="宋体" w:hAnsi="宋体"/>
          <w:color w:val="auto"/>
          <w:szCs w:val="21"/>
          <w:highlight w:val="none"/>
        </w:rPr>
        <w:t>（3）不同响应人的响应文件载明的项目管理成员或者联系人员为同一人；</w:t>
      </w:r>
    </w:p>
    <w:p w14:paraId="5860A05F">
      <w:pPr>
        <w:spacing w:line="400" w:lineRule="exact"/>
        <w:ind w:left="426"/>
        <w:rPr>
          <w:rFonts w:ascii="宋体" w:hAnsi="宋体"/>
          <w:color w:val="auto"/>
          <w:szCs w:val="21"/>
          <w:highlight w:val="none"/>
        </w:rPr>
      </w:pPr>
      <w:r>
        <w:rPr>
          <w:rFonts w:hint="eastAsia" w:ascii="宋体" w:hAnsi="宋体"/>
          <w:color w:val="auto"/>
          <w:szCs w:val="21"/>
          <w:highlight w:val="none"/>
        </w:rPr>
        <w:t>（4）不同响应人的响应文件异常一致或者响应报价呈规律性差异；</w:t>
      </w:r>
    </w:p>
    <w:p w14:paraId="34BCA9CC">
      <w:pPr>
        <w:spacing w:line="400" w:lineRule="exact"/>
        <w:ind w:left="426"/>
        <w:rPr>
          <w:rFonts w:ascii="宋体" w:hAnsi="宋体"/>
          <w:color w:val="auto"/>
          <w:szCs w:val="21"/>
          <w:highlight w:val="none"/>
        </w:rPr>
      </w:pPr>
      <w:r>
        <w:rPr>
          <w:rFonts w:hint="eastAsia" w:ascii="宋体" w:hAnsi="宋体"/>
          <w:color w:val="auto"/>
          <w:szCs w:val="21"/>
          <w:highlight w:val="none"/>
        </w:rPr>
        <w:t>（5）不同响应人的响应文件相互混装；</w:t>
      </w:r>
    </w:p>
    <w:p w14:paraId="725DCC93">
      <w:pPr>
        <w:spacing w:line="400" w:lineRule="exact"/>
        <w:ind w:left="426"/>
        <w:rPr>
          <w:rFonts w:ascii="宋体" w:hAnsi="宋体"/>
          <w:color w:val="auto"/>
          <w:szCs w:val="21"/>
          <w:highlight w:val="none"/>
        </w:rPr>
      </w:pPr>
      <w:r>
        <w:rPr>
          <w:rFonts w:hint="eastAsia" w:ascii="宋体" w:hAnsi="宋体"/>
          <w:color w:val="auto"/>
          <w:szCs w:val="21"/>
          <w:highlight w:val="none"/>
        </w:rPr>
        <w:t>（6）不同响应人的响应保证金从同一单位或者个人的账户转出。</w:t>
      </w:r>
    </w:p>
    <w:p w14:paraId="28609D7B">
      <w:pPr>
        <w:spacing w:line="400" w:lineRule="exact"/>
        <w:ind w:left="426"/>
        <w:rPr>
          <w:rFonts w:ascii="宋体" w:hAnsi="宋体"/>
          <w:color w:val="auto"/>
          <w:szCs w:val="21"/>
          <w:highlight w:val="none"/>
        </w:rPr>
      </w:pPr>
      <w:r>
        <w:rPr>
          <w:bCs/>
          <w:color w:val="auto"/>
          <w:highlight w:val="none"/>
        </w:rPr>
        <w:t>1.7.</w:t>
      </w:r>
      <w:r>
        <w:rPr>
          <w:rFonts w:hint="eastAsia"/>
          <w:bCs/>
          <w:color w:val="auto"/>
          <w:highlight w:val="none"/>
        </w:rPr>
        <w:t>4</w:t>
      </w:r>
      <w:r>
        <w:rPr>
          <w:rFonts w:hint="eastAsia" w:ascii="宋体" w:hAnsi="宋体"/>
          <w:color w:val="auto"/>
          <w:szCs w:val="21"/>
          <w:highlight w:val="none"/>
        </w:rPr>
        <w:t>使用通过受让或者租借等方式获取的资格、资质证书响应的，属于以他人名义谈判，其响应无效：</w:t>
      </w:r>
    </w:p>
    <w:p w14:paraId="58B502DD">
      <w:pPr>
        <w:spacing w:line="400" w:lineRule="exact"/>
        <w:ind w:left="426"/>
        <w:rPr>
          <w:rFonts w:ascii="宋体" w:hAnsi="宋体"/>
          <w:color w:val="auto"/>
          <w:szCs w:val="21"/>
          <w:highlight w:val="none"/>
        </w:rPr>
      </w:pPr>
      <w:r>
        <w:rPr>
          <w:bCs/>
          <w:color w:val="auto"/>
          <w:highlight w:val="none"/>
        </w:rPr>
        <w:t>1.7.</w:t>
      </w:r>
      <w:r>
        <w:rPr>
          <w:rFonts w:hint="eastAsia"/>
          <w:bCs/>
          <w:color w:val="auto"/>
          <w:highlight w:val="none"/>
        </w:rPr>
        <w:t>5</w:t>
      </w:r>
      <w:r>
        <w:rPr>
          <w:rFonts w:hint="eastAsia" w:ascii="宋体" w:hAnsi="宋体"/>
          <w:color w:val="auto"/>
          <w:szCs w:val="21"/>
          <w:highlight w:val="none"/>
        </w:rPr>
        <w:t>有下列情形之一的，属于以其他方式弄虚作假的行为，其响应无效：</w:t>
      </w:r>
    </w:p>
    <w:p w14:paraId="5A39F415">
      <w:pPr>
        <w:spacing w:line="400" w:lineRule="exact"/>
        <w:ind w:left="426"/>
        <w:rPr>
          <w:rFonts w:ascii="宋体" w:hAnsi="宋体"/>
          <w:color w:val="auto"/>
          <w:szCs w:val="21"/>
          <w:highlight w:val="none"/>
        </w:rPr>
      </w:pPr>
      <w:r>
        <w:rPr>
          <w:rFonts w:hint="eastAsia" w:ascii="宋体" w:hAnsi="宋体"/>
          <w:color w:val="auto"/>
          <w:szCs w:val="21"/>
          <w:highlight w:val="none"/>
        </w:rPr>
        <w:t>（1）使用伪造、变造的许可证件；</w:t>
      </w:r>
    </w:p>
    <w:p w14:paraId="00DB17C7">
      <w:pPr>
        <w:spacing w:line="400" w:lineRule="exact"/>
        <w:ind w:left="426"/>
        <w:rPr>
          <w:rFonts w:ascii="宋体" w:hAnsi="宋体"/>
          <w:color w:val="auto"/>
          <w:szCs w:val="21"/>
          <w:highlight w:val="none"/>
        </w:rPr>
      </w:pPr>
      <w:r>
        <w:rPr>
          <w:rFonts w:hint="eastAsia" w:ascii="宋体" w:hAnsi="宋体"/>
          <w:color w:val="auto"/>
          <w:szCs w:val="21"/>
          <w:highlight w:val="none"/>
        </w:rPr>
        <w:t xml:space="preserve">（2）提供虚假的财务状况或者业绩； </w:t>
      </w:r>
    </w:p>
    <w:p w14:paraId="108CD51F">
      <w:pPr>
        <w:spacing w:line="400" w:lineRule="exact"/>
        <w:ind w:left="426"/>
        <w:rPr>
          <w:rFonts w:ascii="宋体" w:hAnsi="宋体"/>
          <w:color w:val="auto"/>
          <w:szCs w:val="21"/>
          <w:highlight w:val="none"/>
        </w:rPr>
      </w:pPr>
      <w:r>
        <w:rPr>
          <w:rFonts w:hint="eastAsia" w:ascii="宋体" w:hAnsi="宋体"/>
          <w:color w:val="auto"/>
          <w:szCs w:val="21"/>
          <w:highlight w:val="none"/>
        </w:rPr>
        <w:t xml:space="preserve">（3）提供虚假的项目负责人或者主要技术人员简历、劳动关系证明； </w:t>
      </w:r>
    </w:p>
    <w:p w14:paraId="43591844">
      <w:pPr>
        <w:spacing w:line="400" w:lineRule="exact"/>
        <w:ind w:left="426"/>
        <w:rPr>
          <w:rFonts w:ascii="宋体" w:hAnsi="宋体"/>
          <w:color w:val="auto"/>
          <w:szCs w:val="21"/>
          <w:highlight w:val="none"/>
        </w:rPr>
      </w:pPr>
      <w:r>
        <w:rPr>
          <w:rFonts w:hint="eastAsia" w:ascii="宋体" w:hAnsi="宋体"/>
          <w:color w:val="auto"/>
          <w:szCs w:val="21"/>
          <w:highlight w:val="none"/>
        </w:rPr>
        <w:t>（4）提供虚假的信用状况；</w:t>
      </w:r>
    </w:p>
    <w:p w14:paraId="3EB37796">
      <w:pPr>
        <w:spacing w:line="400" w:lineRule="exact"/>
        <w:ind w:left="426"/>
        <w:rPr>
          <w:rFonts w:ascii="宋体" w:hAnsi="宋体"/>
          <w:color w:val="auto"/>
          <w:szCs w:val="21"/>
          <w:highlight w:val="none"/>
        </w:rPr>
      </w:pPr>
      <w:r>
        <w:rPr>
          <w:rFonts w:hint="eastAsia" w:ascii="宋体" w:hAnsi="宋体"/>
          <w:color w:val="auto"/>
          <w:szCs w:val="21"/>
          <w:highlight w:val="none"/>
        </w:rPr>
        <w:t>（5）其他弄虚作假的行为。</w:t>
      </w:r>
    </w:p>
    <w:p w14:paraId="6442D705">
      <w:pPr>
        <w:spacing w:line="400" w:lineRule="exact"/>
        <w:ind w:firstLine="359" w:firstLineChars="171"/>
        <w:rPr>
          <w:bCs/>
          <w:color w:val="auto"/>
          <w:highlight w:val="none"/>
        </w:rPr>
      </w:pPr>
      <w:r>
        <w:rPr>
          <w:bCs/>
          <w:color w:val="auto"/>
          <w:highlight w:val="none"/>
        </w:rPr>
        <w:t>1.7.</w:t>
      </w:r>
      <w:r>
        <w:rPr>
          <w:rFonts w:hint="eastAsia"/>
          <w:bCs/>
          <w:color w:val="auto"/>
          <w:highlight w:val="none"/>
        </w:rPr>
        <w:t xml:space="preserve">6响应人相关工作人员与采购人或采购代理机构有以下利害关系之一的，应当回避： </w:t>
      </w:r>
    </w:p>
    <w:p w14:paraId="06032651">
      <w:pPr>
        <w:spacing w:line="400" w:lineRule="exact"/>
        <w:ind w:firstLine="359" w:firstLineChars="171"/>
        <w:rPr>
          <w:bCs/>
          <w:color w:val="auto"/>
          <w:highlight w:val="none"/>
        </w:rPr>
      </w:pPr>
      <w:r>
        <w:rPr>
          <w:rFonts w:hint="eastAsia"/>
          <w:bCs/>
          <w:color w:val="auto"/>
          <w:highlight w:val="none"/>
        </w:rPr>
        <w:t>（一）是其主要负责人的近亲属的；</w:t>
      </w:r>
    </w:p>
    <w:p w14:paraId="53293B99">
      <w:pPr>
        <w:spacing w:line="400" w:lineRule="exact"/>
        <w:ind w:firstLine="359" w:firstLineChars="171"/>
        <w:rPr>
          <w:bCs/>
          <w:color w:val="auto"/>
          <w:highlight w:val="none"/>
        </w:rPr>
      </w:pPr>
      <w:r>
        <w:rPr>
          <w:rFonts w:hint="eastAsia"/>
          <w:bCs/>
          <w:color w:val="auto"/>
          <w:highlight w:val="none"/>
        </w:rPr>
        <w:t>（二）竞争性谈判活动前3年内与其存在劳动关系，担任其董事、监事，是其控股股东或实际控制人，或存在其他经济利益关系，可能影响竞争性谈判活动公平公正的；</w:t>
      </w:r>
    </w:p>
    <w:p w14:paraId="17A2F7E1">
      <w:pPr>
        <w:spacing w:line="400" w:lineRule="exact"/>
        <w:ind w:firstLine="359" w:firstLineChars="171"/>
        <w:rPr>
          <w:bCs/>
          <w:color w:val="auto"/>
          <w:highlight w:val="none"/>
        </w:rPr>
      </w:pPr>
      <w:r>
        <w:rPr>
          <w:rFonts w:hint="eastAsia"/>
          <w:bCs/>
          <w:color w:val="auto"/>
          <w:highlight w:val="none"/>
        </w:rPr>
        <w:t>（三）其他可能影响竞争性谈判活动公平、公正进行的关系。</w:t>
      </w:r>
    </w:p>
    <w:p w14:paraId="63341D68">
      <w:pPr>
        <w:spacing w:line="400" w:lineRule="exact"/>
        <w:rPr>
          <w:rFonts w:ascii="宋体" w:hAnsi="宋体"/>
          <w:b/>
          <w:color w:val="auto"/>
          <w:sz w:val="32"/>
          <w:szCs w:val="32"/>
          <w:highlight w:val="none"/>
        </w:rPr>
      </w:pPr>
      <w:bookmarkStart w:id="24" w:name="_Toc456551884"/>
      <w:bookmarkStart w:id="25" w:name="_Toc475552130"/>
      <w:r>
        <w:rPr>
          <w:rFonts w:hint="eastAsia" w:ascii="宋体" w:hAnsi="宋体"/>
          <w:b/>
          <w:color w:val="auto"/>
          <w:sz w:val="32"/>
          <w:szCs w:val="32"/>
          <w:highlight w:val="none"/>
        </w:rPr>
        <w:t>1.</w:t>
      </w:r>
      <w:r>
        <w:rPr>
          <w:rFonts w:ascii="宋体" w:hAnsi="宋体"/>
          <w:b/>
          <w:color w:val="auto"/>
          <w:sz w:val="32"/>
          <w:szCs w:val="32"/>
          <w:highlight w:val="none"/>
        </w:rPr>
        <w:t>8</w:t>
      </w:r>
      <w:r>
        <w:rPr>
          <w:rFonts w:hint="eastAsia" w:ascii="宋体" w:hAnsi="宋体"/>
          <w:b/>
          <w:color w:val="auto"/>
          <w:sz w:val="32"/>
          <w:szCs w:val="32"/>
          <w:highlight w:val="none"/>
        </w:rPr>
        <w:t xml:space="preserve"> 费用承担</w:t>
      </w:r>
      <w:bookmarkEnd w:id="24"/>
      <w:bookmarkEnd w:id="25"/>
    </w:p>
    <w:p w14:paraId="4E09FD67">
      <w:pPr>
        <w:spacing w:line="400" w:lineRule="exact"/>
        <w:ind w:firstLine="420" w:firstLineChars="200"/>
        <w:rPr>
          <w:color w:val="auto"/>
          <w:highlight w:val="none"/>
        </w:rPr>
      </w:pPr>
      <w:r>
        <w:rPr>
          <w:rFonts w:hint="eastAsia" w:ascii="宋体" w:hAnsi="宋体" w:cs="宋体"/>
          <w:color w:val="auto"/>
          <w:szCs w:val="21"/>
          <w:highlight w:val="none"/>
        </w:rPr>
        <w:t>响应人准备和参加竞争性谈判活动发生的费用自理</w:t>
      </w:r>
      <w:r>
        <w:rPr>
          <w:rFonts w:hint="eastAsia"/>
          <w:color w:val="auto"/>
          <w:highlight w:val="none"/>
        </w:rPr>
        <w:t>。</w:t>
      </w:r>
    </w:p>
    <w:p w14:paraId="5B72C36B">
      <w:pPr>
        <w:spacing w:line="400" w:lineRule="exact"/>
        <w:rPr>
          <w:rFonts w:ascii="宋体" w:hAnsi="宋体"/>
          <w:b/>
          <w:color w:val="auto"/>
          <w:sz w:val="32"/>
          <w:szCs w:val="32"/>
          <w:highlight w:val="none"/>
        </w:rPr>
      </w:pPr>
      <w:bookmarkStart w:id="26" w:name="_Toc475552131"/>
      <w:bookmarkStart w:id="27" w:name="_Toc456551885"/>
      <w:r>
        <w:rPr>
          <w:rFonts w:hint="eastAsia" w:ascii="宋体" w:hAnsi="宋体"/>
          <w:b/>
          <w:color w:val="auto"/>
          <w:sz w:val="32"/>
          <w:szCs w:val="32"/>
          <w:highlight w:val="none"/>
        </w:rPr>
        <w:t>1.</w:t>
      </w:r>
      <w:r>
        <w:rPr>
          <w:rFonts w:ascii="宋体" w:hAnsi="宋体"/>
          <w:b/>
          <w:color w:val="auto"/>
          <w:sz w:val="32"/>
          <w:szCs w:val="32"/>
          <w:highlight w:val="none"/>
        </w:rPr>
        <w:t>9</w:t>
      </w:r>
      <w:r>
        <w:rPr>
          <w:rFonts w:hint="eastAsia" w:ascii="宋体" w:hAnsi="宋体"/>
          <w:b/>
          <w:color w:val="auto"/>
          <w:sz w:val="32"/>
          <w:szCs w:val="32"/>
          <w:highlight w:val="none"/>
        </w:rPr>
        <w:t xml:space="preserve"> 保密</w:t>
      </w:r>
      <w:bookmarkEnd w:id="26"/>
      <w:bookmarkEnd w:id="27"/>
    </w:p>
    <w:p w14:paraId="0454232E">
      <w:pPr>
        <w:spacing w:line="400" w:lineRule="exact"/>
        <w:ind w:firstLine="420" w:firstLineChars="200"/>
        <w:rPr>
          <w:color w:val="auto"/>
          <w:highlight w:val="none"/>
        </w:rPr>
      </w:pPr>
      <w:r>
        <w:rPr>
          <w:rFonts w:hint="eastAsia"/>
          <w:color w:val="auto"/>
          <w:highlight w:val="none"/>
        </w:rPr>
        <w:t xml:space="preserve">参与竞争性谈判活动的各方应对竞争性谈判文件和响应文件中的商业和技术等秘密保密，违者应对由此造成的后果承担法律责任。 </w:t>
      </w:r>
    </w:p>
    <w:p w14:paraId="2FBA561D">
      <w:pPr>
        <w:spacing w:line="400" w:lineRule="exact"/>
        <w:rPr>
          <w:rFonts w:ascii="宋体" w:hAnsi="宋体"/>
          <w:b/>
          <w:color w:val="auto"/>
          <w:sz w:val="32"/>
          <w:szCs w:val="32"/>
          <w:highlight w:val="none"/>
        </w:rPr>
      </w:pPr>
      <w:bookmarkStart w:id="28" w:name="_Toc475552133"/>
      <w:bookmarkStart w:id="29" w:name="_Toc456551887"/>
      <w:bookmarkStart w:id="30" w:name="_Toc475552132"/>
      <w:bookmarkStart w:id="31" w:name="_Toc456551886"/>
      <w:r>
        <w:rPr>
          <w:rFonts w:hint="eastAsia" w:ascii="宋体" w:hAnsi="宋体"/>
          <w:b/>
          <w:color w:val="auto"/>
          <w:sz w:val="32"/>
          <w:szCs w:val="32"/>
          <w:highlight w:val="none"/>
        </w:rPr>
        <w:t>1.10 语言文字</w:t>
      </w:r>
      <w:bookmarkEnd w:id="28"/>
      <w:bookmarkEnd w:id="29"/>
    </w:p>
    <w:p w14:paraId="1B14FF4C">
      <w:pPr>
        <w:spacing w:line="400" w:lineRule="exact"/>
        <w:ind w:firstLine="420" w:firstLineChars="200"/>
        <w:rPr>
          <w:color w:val="auto"/>
          <w:highlight w:val="none"/>
        </w:rPr>
      </w:pPr>
      <w:r>
        <w:rPr>
          <w:rFonts w:hint="eastAsia" w:ascii="宋体" w:hAnsi="宋体" w:cs="宋体"/>
          <w:color w:val="auto"/>
          <w:szCs w:val="21"/>
          <w:highlight w:val="none"/>
        </w:rPr>
        <w:t>除专用术语外，与竞争性谈判有关的语言均使用简体中文。必要时专用术语应附有中文注释。</w:t>
      </w:r>
    </w:p>
    <w:p w14:paraId="06C21131">
      <w:pPr>
        <w:spacing w:line="400" w:lineRule="exact"/>
        <w:rPr>
          <w:rFonts w:ascii="宋体" w:hAnsi="宋体"/>
          <w:b/>
          <w:color w:val="auto"/>
          <w:sz w:val="32"/>
          <w:szCs w:val="32"/>
          <w:highlight w:val="none"/>
        </w:rPr>
      </w:pPr>
      <w:r>
        <w:rPr>
          <w:rFonts w:hint="eastAsia" w:ascii="宋体" w:hAnsi="宋体"/>
          <w:b/>
          <w:color w:val="auto"/>
          <w:sz w:val="32"/>
          <w:szCs w:val="32"/>
          <w:highlight w:val="none"/>
        </w:rPr>
        <w:t>1.11 计量单位</w:t>
      </w:r>
      <w:bookmarkEnd w:id="30"/>
      <w:bookmarkEnd w:id="31"/>
    </w:p>
    <w:p w14:paraId="2EBB07DB">
      <w:pPr>
        <w:spacing w:line="400" w:lineRule="exact"/>
        <w:ind w:firstLine="420" w:firstLineChars="200"/>
        <w:rPr>
          <w:color w:val="auto"/>
          <w:highlight w:val="none"/>
        </w:rPr>
      </w:pPr>
      <w:r>
        <w:rPr>
          <w:rFonts w:hint="eastAsia"/>
          <w:color w:val="auto"/>
          <w:highlight w:val="none"/>
        </w:rPr>
        <w:t>所有计量均采用中华人民共和国法定计量单位。</w:t>
      </w:r>
    </w:p>
    <w:p w14:paraId="61357DC0">
      <w:pPr>
        <w:spacing w:line="400" w:lineRule="exact"/>
        <w:rPr>
          <w:rFonts w:ascii="宋体" w:hAnsi="宋体"/>
          <w:b/>
          <w:color w:val="auto"/>
          <w:sz w:val="32"/>
          <w:szCs w:val="32"/>
          <w:highlight w:val="none"/>
        </w:rPr>
      </w:pPr>
      <w:bookmarkStart w:id="32" w:name="_Toc456551892"/>
      <w:bookmarkStart w:id="33" w:name="_Toc475552136"/>
      <w:r>
        <w:rPr>
          <w:rFonts w:hint="eastAsia" w:ascii="宋体" w:hAnsi="宋体"/>
          <w:b/>
          <w:color w:val="auto"/>
          <w:sz w:val="32"/>
          <w:szCs w:val="32"/>
          <w:highlight w:val="none"/>
        </w:rPr>
        <w:t>1.12 踏勘现场</w:t>
      </w:r>
      <w:bookmarkEnd w:id="32"/>
      <w:bookmarkEnd w:id="33"/>
    </w:p>
    <w:p w14:paraId="78606EAF">
      <w:pPr>
        <w:spacing w:line="400" w:lineRule="exact"/>
        <w:ind w:firstLine="420" w:firstLineChars="200"/>
        <w:rPr>
          <w:color w:val="auto"/>
          <w:highlight w:val="none"/>
        </w:rPr>
      </w:pPr>
      <w:r>
        <w:rPr>
          <w:rFonts w:hint="eastAsia"/>
          <w:color w:val="auto"/>
          <w:highlight w:val="none"/>
        </w:rPr>
        <w:t>1.12.1 竞争性谈判响应须知前附表规定组织踏勘现场的，采购人按竞争性谈判响应须知前附表规定的时间、地点组织响应人踏勘项目现场。</w:t>
      </w:r>
    </w:p>
    <w:p w14:paraId="17685EA7">
      <w:pPr>
        <w:spacing w:line="400" w:lineRule="exact"/>
        <w:ind w:firstLine="420" w:firstLineChars="200"/>
        <w:rPr>
          <w:color w:val="auto"/>
          <w:highlight w:val="none"/>
        </w:rPr>
      </w:pPr>
      <w:r>
        <w:rPr>
          <w:rFonts w:hint="eastAsia"/>
          <w:color w:val="auto"/>
          <w:highlight w:val="none"/>
        </w:rPr>
        <w:t>1.12.2 响应人踏勘现场发生的费用自理。</w:t>
      </w:r>
    </w:p>
    <w:p w14:paraId="3BA7EBD6">
      <w:pPr>
        <w:spacing w:line="400" w:lineRule="exact"/>
        <w:ind w:firstLine="420" w:firstLineChars="200"/>
        <w:rPr>
          <w:color w:val="auto"/>
          <w:highlight w:val="none"/>
        </w:rPr>
      </w:pPr>
      <w:r>
        <w:rPr>
          <w:rFonts w:hint="eastAsia"/>
          <w:color w:val="auto"/>
          <w:highlight w:val="none"/>
        </w:rPr>
        <w:t>1.12.3 除采购人的原因外，响应人自行负责在踏勘现场中所发生的人员伤亡和财产损失。</w:t>
      </w:r>
    </w:p>
    <w:p w14:paraId="52ADF7B4">
      <w:pPr>
        <w:spacing w:line="400" w:lineRule="exact"/>
        <w:ind w:firstLine="420" w:firstLineChars="200"/>
        <w:rPr>
          <w:color w:val="auto"/>
          <w:highlight w:val="none"/>
        </w:rPr>
      </w:pPr>
      <w:r>
        <w:rPr>
          <w:rFonts w:hint="eastAsia"/>
          <w:color w:val="auto"/>
          <w:highlight w:val="none"/>
        </w:rPr>
        <w:t>1.12.4 采购人在踏勘现场中介绍的实施地点和相关的周边环境情况，供响应人在编制响应文件时参考，采购人不对响应人据此作出的判断和决策负责。</w:t>
      </w:r>
    </w:p>
    <w:p w14:paraId="7AA0038E">
      <w:pPr>
        <w:spacing w:line="400" w:lineRule="exact"/>
        <w:rPr>
          <w:color w:val="auto"/>
          <w:highlight w:val="none"/>
        </w:rPr>
      </w:pPr>
    </w:p>
    <w:p w14:paraId="1D42C492">
      <w:pPr>
        <w:pStyle w:val="6"/>
        <w:rPr>
          <w:rFonts w:ascii="黑体" w:hAnsi="黑体"/>
          <w:color w:val="auto"/>
          <w:highlight w:val="none"/>
        </w:rPr>
      </w:pPr>
      <w:bookmarkStart w:id="34" w:name="_Toc5141"/>
      <w:bookmarkStart w:id="35" w:name="_Toc456551890"/>
      <w:r>
        <w:rPr>
          <w:rFonts w:hint="eastAsia" w:ascii="黑体" w:hAnsi="黑体"/>
          <w:color w:val="auto"/>
          <w:highlight w:val="none"/>
        </w:rPr>
        <w:t>2. 竞争性谈判文件</w:t>
      </w:r>
      <w:bookmarkEnd w:id="34"/>
      <w:bookmarkEnd w:id="35"/>
    </w:p>
    <w:p w14:paraId="1377D6AB">
      <w:pPr>
        <w:spacing w:line="400" w:lineRule="exact"/>
        <w:rPr>
          <w:rFonts w:ascii="宋体" w:hAnsi="宋体"/>
          <w:b/>
          <w:color w:val="auto"/>
          <w:sz w:val="32"/>
          <w:szCs w:val="32"/>
          <w:highlight w:val="none"/>
        </w:rPr>
      </w:pPr>
      <w:bookmarkStart w:id="36" w:name="_Toc475552135"/>
      <w:bookmarkStart w:id="37" w:name="_Toc456551891"/>
      <w:r>
        <w:rPr>
          <w:rFonts w:hint="eastAsia" w:ascii="宋体" w:hAnsi="宋体"/>
          <w:b/>
          <w:color w:val="auto"/>
          <w:sz w:val="32"/>
          <w:szCs w:val="32"/>
          <w:highlight w:val="none"/>
        </w:rPr>
        <w:t>2.1 竞争性谈判文件的组成</w:t>
      </w:r>
      <w:bookmarkEnd w:id="36"/>
      <w:bookmarkEnd w:id="37"/>
    </w:p>
    <w:p w14:paraId="62A48D7E">
      <w:pPr>
        <w:spacing w:line="400" w:lineRule="exact"/>
        <w:rPr>
          <w:color w:val="auto"/>
          <w:highlight w:val="none"/>
        </w:rPr>
      </w:pPr>
      <w:r>
        <w:rPr>
          <w:rFonts w:hint="eastAsia"/>
          <w:color w:val="auto"/>
          <w:highlight w:val="none"/>
        </w:rPr>
        <w:t>　　2.1.1 本竞争性谈判文件一般由以下部分组成：</w:t>
      </w:r>
    </w:p>
    <w:p w14:paraId="4A618FDB">
      <w:pPr>
        <w:spacing w:line="400" w:lineRule="exact"/>
        <w:ind w:firstLine="567" w:firstLineChars="270"/>
        <w:rPr>
          <w:color w:val="auto"/>
          <w:highlight w:val="none"/>
        </w:rPr>
      </w:pPr>
      <w:r>
        <w:rPr>
          <w:rFonts w:hint="eastAsia"/>
          <w:color w:val="auto"/>
          <w:highlight w:val="none"/>
        </w:rPr>
        <w:t>第一章 竞争性谈判公告</w:t>
      </w:r>
    </w:p>
    <w:p w14:paraId="3E4CFE52">
      <w:pPr>
        <w:spacing w:line="400" w:lineRule="exact"/>
        <w:ind w:firstLine="567" w:firstLineChars="270"/>
        <w:rPr>
          <w:color w:val="auto"/>
          <w:highlight w:val="none"/>
        </w:rPr>
      </w:pPr>
      <w:r>
        <w:rPr>
          <w:rFonts w:hint="eastAsia"/>
          <w:color w:val="auto"/>
          <w:highlight w:val="none"/>
        </w:rPr>
        <w:t>第二章 竞争性谈判响应须知</w:t>
      </w:r>
    </w:p>
    <w:p w14:paraId="7E6CFAA3">
      <w:pPr>
        <w:spacing w:line="400" w:lineRule="exact"/>
        <w:ind w:firstLine="567" w:firstLineChars="270"/>
        <w:rPr>
          <w:color w:val="auto"/>
          <w:highlight w:val="none"/>
        </w:rPr>
      </w:pPr>
      <w:r>
        <w:rPr>
          <w:rFonts w:hint="eastAsia"/>
          <w:color w:val="auto"/>
          <w:highlight w:val="none"/>
        </w:rPr>
        <w:t>第三章 评审办法</w:t>
      </w:r>
    </w:p>
    <w:p w14:paraId="1A376FA9">
      <w:pPr>
        <w:spacing w:line="400" w:lineRule="exact"/>
        <w:ind w:firstLine="567" w:firstLineChars="270"/>
        <w:rPr>
          <w:color w:val="auto"/>
          <w:highlight w:val="none"/>
        </w:rPr>
      </w:pPr>
      <w:r>
        <w:rPr>
          <w:rFonts w:hint="eastAsia"/>
          <w:color w:val="auto"/>
          <w:highlight w:val="none"/>
        </w:rPr>
        <w:t>第四章 用户需求书(服务类/货物类)；技术规范书、工程量清单、图纸（施工类）；</w:t>
      </w:r>
    </w:p>
    <w:p w14:paraId="50E93591">
      <w:pPr>
        <w:spacing w:line="400" w:lineRule="exact"/>
        <w:ind w:firstLine="567" w:firstLineChars="270"/>
        <w:rPr>
          <w:color w:val="auto"/>
          <w:highlight w:val="none"/>
        </w:rPr>
      </w:pPr>
      <w:r>
        <w:rPr>
          <w:rFonts w:hint="eastAsia"/>
          <w:color w:val="auto"/>
          <w:highlight w:val="none"/>
        </w:rPr>
        <w:t>第五章 合同模板</w:t>
      </w:r>
    </w:p>
    <w:p w14:paraId="5695AED4">
      <w:pPr>
        <w:spacing w:line="400" w:lineRule="exact"/>
        <w:ind w:firstLine="567" w:firstLineChars="270"/>
        <w:rPr>
          <w:color w:val="auto"/>
          <w:highlight w:val="none"/>
        </w:rPr>
      </w:pPr>
      <w:r>
        <w:rPr>
          <w:rFonts w:hint="eastAsia"/>
          <w:color w:val="auto"/>
          <w:highlight w:val="none"/>
        </w:rPr>
        <w:t>第六章 响应文件格式</w:t>
      </w:r>
    </w:p>
    <w:p w14:paraId="13CBC660">
      <w:pPr>
        <w:spacing w:line="400" w:lineRule="exact"/>
        <w:ind w:firstLine="567" w:firstLineChars="270"/>
        <w:rPr>
          <w:color w:val="auto"/>
          <w:highlight w:val="none"/>
        </w:rPr>
      </w:pPr>
      <w:r>
        <w:rPr>
          <w:rFonts w:hint="eastAsia"/>
          <w:color w:val="auto"/>
          <w:highlight w:val="none"/>
        </w:rPr>
        <w:t>采购人另有要求的，见竞争性谈判响应须知前附表。</w:t>
      </w:r>
    </w:p>
    <w:p w14:paraId="25CC8BC7">
      <w:pPr>
        <w:spacing w:line="400" w:lineRule="exact"/>
        <w:ind w:firstLine="567" w:firstLineChars="270"/>
        <w:rPr>
          <w:color w:val="auto"/>
          <w:highlight w:val="none"/>
        </w:rPr>
      </w:pPr>
      <w:r>
        <w:rPr>
          <w:rFonts w:hint="eastAsia" w:ascii="宋体" w:hAnsi="宋体" w:cs="宋体"/>
          <w:color w:val="auto"/>
          <w:szCs w:val="21"/>
          <w:highlight w:val="none"/>
        </w:rPr>
        <w:t>根据本章第2.2款对竞争性谈判文件所作的澄清、修改，构成竞争性谈判文件的组成部分。</w:t>
      </w:r>
    </w:p>
    <w:p w14:paraId="2FB94595">
      <w:pPr>
        <w:spacing w:line="400" w:lineRule="exact"/>
        <w:ind w:firstLine="420" w:firstLineChars="200"/>
        <w:rPr>
          <w:color w:val="auto"/>
          <w:highlight w:val="none"/>
        </w:rPr>
      </w:pPr>
      <w:r>
        <w:rPr>
          <w:rFonts w:hint="eastAsia"/>
          <w:color w:val="auto"/>
          <w:highlight w:val="none"/>
        </w:rPr>
        <w:t>2.1.2竞争性谈判文件对同一内容的表述应当一致。第一章 “竞争性谈判公告”与竞争性谈判文件在同一内容的表述上有矛盾或冲突时，以第一章 “竞争性谈判公告”为准；竞争性谈判响应须知前附表与正文在同一内容的表述上有矛盾或冲突时，以竞争性谈判响应须知前附表为准。</w:t>
      </w:r>
    </w:p>
    <w:p w14:paraId="012A5632">
      <w:pPr>
        <w:spacing w:line="400" w:lineRule="exact"/>
        <w:ind w:firstLine="420" w:firstLineChars="200"/>
        <w:rPr>
          <w:color w:val="auto"/>
          <w:highlight w:val="none"/>
        </w:rPr>
      </w:pPr>
      <w:r>
        <w:rPr>
          <w:rFonts w:hint="eastAsia"/>
          <w:color w:val="auto"/>
          <w:highlight w:val="none"/>
        </w:rPr>
        <w:t>2.1.3</w:t>
      </w:r>
      <w:r>
        <w:rPr>
          <w:rFonts w:hint="eastAsia" w:ascii="宋体" w:hAnsi="宋体" w:cs="宋体"/>
          <w:b/>
          <w:color w:val="auto"/>
          <w:szCs w:val="21"/>
          <w:highlight w:val="none"/>
        </w:rPr>
        <w:t>竞争性谈判文件中标识“</w:t>
      </w:r>
      <w:r>
        <w:rPr>
          <w:rFonts w:eastAsia="黑体"/>
          <w:b/>
          <w:color w:val="auto"/>
          <w:sz w:val="32"/>
          <w:szCs w:val="32"/>
          <w:highlight w:val="none"/>
        </w:rPr>
        <w:sym w:font="Wingdings" w:char="00AB"/>
      </w:r>
      <w:r>
        <w:rPr>
          <w:rFonts w:hint="eastAsia" w:ascii="宋体" w:hAnsi="宋体" w:cs="宋体"/>
          <w:b/>
          <w:color w:val="auto"/>
          <w:szCs w:val="21"/>
          <w:highlight w:val="none"/>
        </w:rPr>
        <w:t>”的条款，均为实质性条款，任何不满足实质性条款的谈判将被否决</w:t>
      </w:r>
      <w:r>
        <w:rPr>
          <w:rFonts w:hint="eastAsia"/>
          <w:b/>
          <w:color w:val="auto"/>
          <w:highlight w:val="none"/>
        </w:rPr>
        <w:t>；</w:t>
      </w:r>
      <w:r>
        <w:rPr>
          <w:rFonts w:hint="eastAsia"/>
          <w:color w:val="auto"/>
          <w:highlight w:val="none"/>
        </w:rPr>
        <w:t>对于非实质性要求和条件，</w:t>
      </w:r>
      <w:r>
        <w:rPr>
          <w:rFonts w:hint="eastAsia" w:ascii="宋体" w:hAnsi="宋体" w:cs="宋体"/>
          <w:color w:val="auto"/>
          <w:szCs w:val="21"/>
          <w:highlight w:val="none"/>
        </w:rPr>
        <w:t>偏离应当符合采购文件规定的偏离范围和幅度</w:t>
      </w:r>
      <w:r>
        <w:rPr>
          <w:rFonts w:hint="eastAsia"/>
          <w:color w:val="auto"/>
          <w:highlight w:val="none"/>
        </w:rPr>
        <w:t>。</w:t>
      </w:r>
    </w:p>
    <w:p w14:paraId="7E365BE8">
      <w:pPr>
        <w:spacing w:line="400" w:lineRule="exact"/>
        <w:rPr>
          <w:rFonts w:ascii="宋体" w:hAnsi="宋体"/>
          <w:b/>
          <w:color w:val="auto"/>
          <w:sz w:val="32"/>
          <w:szCs w:val="32"/>
          <w:highlight w:val="none"/>
        </w:rPr>
      </w:pPr>
      <w:bookmarkStart w:id="38" w:name="_Toc456551894"/>
      <w:bookmarkStart w:id="39" w:name="_Toc475552138"/>
      <w:r>
        <w:rPr>
          <w:rFonts w:hint="eastAsia" w:ascii="宋体" w:hAnsi="宋体"/>
          <w:b/>
          <w:color w:val="auto"/>
          <w:sz w:val="32"/>
          <w:szCs w:val="32"/>
          <w:highlight w:val="none"/>
        </w:rPr>
        <w:t>2.2 竞争性谈判文件的澄清和修改</w:t>
      </w:r>
      <w:bookmarkEnd w:id="38"/>
      <w:bookmarkEnd w:id="39"/>
    </w:p>
    <w:p w14:paraId="58176756">
      <w:pPr>
        <w:spacing w:line="400" w:lineRule="exact"/>
        <w:ind w:firstLine="420" w:firstLineChars="200"/>
        <w:rPr>
          <w:color w:val="auto"/>
          <w:highlight w:val="none"/>
        </w:rPr>
      </w:pPr>
      <w:r>
        <w:rPr>
          <w:rFonts w:hint="eastAsia"/>
          <w:color w:val="auto"/>
          <w:highlight w:val="none"/>
        </w:rPr>
        <w:t>2.2.1响应人对竞争性谈判文件有任何疑问的，应当按照竞争性谈判响应须知前附表规定的时间和方式，向采购人提出澄清要求。</w:t>
      </w:r>
    </w:p>
    <w:p w14:paraId="377D650A">
      <w:pPr>
        <w:spacing w:line="400" w:lineRule="exact"/>
        <w:ind w:firstLine="420" w:firstLineChars="200"/>
        <w:rPr>
          <w:color w:val="auto"/>
          <w:highlight w:val="none"/>
        </w:rPr>
      </w:pPr>
      <w:r>
        <w:rPr>
          <w:rFonts w:hint="eastAsia"/>
          <w:color w:val="auto"/>
          <w:highlight w:val="none"/>
        </w:rPr>
        <w:t>2.2.2</w:t>
      </w:r>
      <w:r>
        <w:rPr>
          <w:rFonts w:hint="eastAsia" w:ascii="宋体" w:hAnsi="宋体" w:cs="宋体"/>
          <w:color w:val="auto"/>
          <w:szCs w:val="21"/>
          <w:highlight w:val="none"/>
        </w:rPr>
        <w:t>无论是采购人根据需要主动对竞争性谈判文件进行必要的澄清，或是根据响应人的要求对竞争性谈判文件做出澄清，</w:t>
      </w:r>
      <w:r>
        <w:rPr>
          <w:rFonts w:hint="eastAsia"/>
          <w:color w:val="auto"/>
          <w:highlight w:val="none"/>
        </w:rPr>
        <w:t>采购人都应当按照竞争性谈判响应须知前附表规定的时间和方式，将澄清或修改内容发给所有潜在竞争性谈判响应人，但不指明问题的来源。</w:t>
      </w:r>
    </w:p>
    <w:p w14:paraId="0BEC308D">
      <w:pPr>
        <w:spacing w:line="400" w:lineRule="exact"/>
        <w:ind w:firstLine="420" w:firstLineChars="200"/>
        <w:rPr>
          <w:color w:val="auto"/>
          <w:highlight w:val="none"/>
        </w:rPr>
      </w:pPr>
      <w:r>
        <w:rPr>
          <w:rFonts w:hint="eastAsia"/>
          <w:color w:val="auto"/>
          <w:highlight w:val="none"/>
        </w:rPr>
        <w:t>2.2.3如澄清或修改的内容可能影响响应文件编制的，应当在递交响应文件截止时间至少3日前发出，不足3日的，采购人应相应顺延递交响应文件的截止时间。</w:t>
      </w:r>
    </w:p>
    <w:p w14:paraId="01D15E3D">
      <w:pPr>
        <w:spacing w:line="400" w:lineRule="exact"/>
        <w:ind w:firstLine="420" w:firstLineChars="200"/>
        <w:rPr>
          <w:color w:val="auto"/>
          <w:highlight w:val="none"/>
        </w:rPr>
      </w:pPr>
      <w:r>
        <w:rPr>
          <w:rFonts w:hint="eastAsia"/>
          <w:color w:val="auto"/>
          <w:highlight w:val="none"/>
        </w:rPr>
        <w:t>2.2.4所有关于竞争性谈判文件的澄清和修改均作为竞争性谈判文件的补充部分。当竞争性谈判文件、竞争性谈判文件的澄清或修改等在同一内容的表述上不一致时，以最后发出的书面文件为准。</w:t>
      </w:r>
    </w:p>
    <w:p w14:paraId="7150998E">
      <w:pPr>
        <w:spacing w:line="400" w:lineRule="exact"/>
        <w:ind w:firstLine="420" w:firstLineChars="200"/>
        <w:rPr>
          <w:color w:val="auto"/>
          <w:highlight w:val="none"/>
        </w:rPr>
      </w:pPr>
      <w:r>
        <w:rPr>
          <w:rFonts w:hint="eastAsia"/>
          <w:color w:val="auto"/>
          <w:highlight w:val="none"/>
        </w:rPr>
        <w:t>2.2.5</w:t>
      </w:r>
      <w:r>
        <w:rPr>
          <w:rFonts w:hint="eastAsia" w:ascii="宋体" w:hAnsi="宋体" w:cs="宋体"/>
          <w:color w:val="auto"/>
          <w:szCs w:val="21"/>
          <w:highlight w:val="none"/>
        </w:rPr>
        <w:t>响应人对采购人提供的竞争性谈判文件所作出的推论、解释和结论，采购人概不负责；响应人由于对竞争性谈判文件的任何推论和误解以及采购人对有关问题的口头解释所造成的后果，均由响应人自行负责。</w:t>
      </w:r>
    </w:p>
    <w:p w14:paraId="3C88D326">
      <w:pPr>
        <w:spacing w:line="400" w:lineRule="exact"/>
        <w:ind w:firstLine="420" w:firstLineChars="200"/>
        <w:rPr>
          <w:color w:val="auto"/>
          <w:highlight w:val="none"/>
        </w:rPr>
      </w:pPr>
    </w:p>
    <w:p w14:paraId="6537380D">
      <w:pPr>
        <w:pStyle w:val="6"/>
        <w:rPr>
          <w:rFonts w:ascii="黑体" w:hAnsi="黑体"/>
          <w:color w:val="auto"/>
          <w:highlight w:val="none"/>
        </w:rPr>
      </w:pPr>
      <w:bookmarkStart w:id="40" w:name="_Toc906"/>
      <w:bookmarkStart w:id="41" w:name="_Toc456551895"/>
      <w:r>
        <w:rPr>
          <w:rFonts w:hint="eastAsia" w:ascii="黑体" w:hAnsi="黑体"/>
          <w:color w:val="auto"/>
          <w:highlight w:val="none"/>
        </w:rPr>
        <w:t>3. 响应文件</w:t>
      </w:r>
      <w:bookmarkEnd w:id="40"/>
      <w:bookmarkEnd w:id="41"/>
    </w:p>
    <w:p w14:paraId="0278AE12">
      <w:pPr>
        <w:spacing w:line="400" w:lineRule="exact"/>
        <w:rPr>
          <w:rFonts w:ascii="宋体" w:hAnsi="宋体"/>
          <w:b/>
          <w:color w:val="auto"/>
          <w:sz w:val="32"/>
          <w:szCs w:val="32"/>
          <w:highlight w:val="none"/>
        </w:rPr>
      </w:pPr>
      <w:bookmarkStart w:id="42" w:name="_Toc475552140"/>
      <w:bookmarkStart w:id="43" w:name="_Toc456551896"/>
      <w:r>
        <w:rPr>
          <w:rFonts w:hint="eastAsia" w:ascii="宋体" w:hAnsi="宋体"/>
          <w:b/>
          <w:color w:val="auto"/>
          <w:sz w:val="32"/>
          <w:szCs w:val="32"/>
          <w:highlight w:val="none"/>
        </w:rPr>
        <w:t>3.1 响应文件的组成</w:t>
      </w:r>
      <w:bookmarkEnd w:id="42"/>
      <w:bookmarkEnd w:id="43"/>
    </w:p>
    <w:p w14:paraId="5ABBB6EE">
      <w:pPr>
        <w:spacing w:line="400" w:lineRule="exact"/>
        <w:ind w:firstLine="359" w:firstLineChars="171"/>
        <w:rPr>
          <w:rFonts w:ascii="宋体" w:hAnsi="宋体" w:cs="宋体"/>
          <w:color w:val="auto"/>
          <w:szCs w:val="21"/>
          <w:highlight w:val="none"/>
        </w:rPr>
      </w:pPr>
      <w:r>
        <w:rPr>
          <w:rFonts w:hint="eastAsia" w:ascii="宋体" w:hAnsi="宋体" w:cs="宋体"/>
          <w:color w:val="auto"/>
          <w:szCs w:val="21"/>
          <w:highlight w:val="none"/>
        </w:rPr>
        <w:t>响应人应当按照竞争性谈判文件的要求编制并提交响应文件。</w:t>
      </w:r>
    </w:p>
    <w:p w14:paraId="2C785FBE">
      <w:pPr>
        <w:spacing w:line="400" w:lineRule="exact"/>
        <w:rPr>
          <w:rFonts w:ascii="宋体" w:hAnsi="宋体"/>
          <w:b/>
          <w:color w:val="auto"/>
          <w:sz w:val="32"/>
          <w:szCs w:val="32"/>
          <w:highlight w:val="none"/>
        </w:rPr>
      </w:pPr>
      <w:bookmarkStart w:id="44" w:name="_Toc456551897"/>
      <w:bookmarkStart w:id="45" w:name="_Toc475552141"/>
      <w:r>
        <w:rPr>
          <w:rFonts w:hint="eastAsia" w:ascii="宋体" w:hAnsi="宋体"/>
          <w:b/>
          <w:color w:val="auto"/>
          <w:sz w:val="32"/>
          <w:szCs w:val="32"/>
          <w:highlight w:val="none"/>
        </w:rPr>
        <w:t>3.2响应文件的编制</w:t>
      </w:r>
      <w:bookmarkEnd w:id="44"/>
      <w:bookmarkEnd w:id="45"/>
    </w:p>
    <w:p w14:paraId="1413C3B8">
      <w:pPr>
        <w:spacing w:line="400" w:lineRule="exact"/>
        <w:ind w:firstLine="420" w:firstLineChars="200"/>
        <w:rPr>
          <w:color w:val="auto"/>
          <w:szCs w:val="21"/>
          <w:highlight w:val="none"/>
        </w:rPr>
      </w:pPr>
      <w:r>
        <w:rPr>
          <w:rFonts w:hint="eastAsia"/>
          <w:color w:val="auto"/>
          <w:szCs w:val="21"/>
          <w:highlight w:val="none"/>
        </w:rPr>
        <w:t>3.2.1响应人应当按照竞争性谈判文件的要求编制响应文件，响应文件应当对竞争性谈判文件提出的实质性要求和条件作出响应。</w:t>
      </w:r>
      <w:r>
        <w:rPr>
          <w:color w:val="auto"/>
          <w:szCs w:val="21"/>
          <w:highlight w:val="none"/>
        </w:rPr>
        <w:t xml:space="preserve"> </w:t>
      </w:r>
    </w:p>
    <w:p w14:paraId="1F5697C2">
      <w:pPr>
        <w:spacing w:line="400" w:lineRule="exact"/>
        <w:ind w:firstLine="420" w:firstLineChars="200"/>
        <w:rPr>
          <w:color w:val="auto"/>
          <w:szCs w:val="21"/>
          <w:highlight w:val="none"/>
        </w:rPr>
      </w:pPr>
      <w:r>
        <w:rPr>
          <w:rFonts w:hint="eastAsia"/>
          <w:color w:val="auto"/>
          <w:szCs w:val="21"/>
          <w:highlight w:val="none"/>
        </w:rPr>
        <w:t>3.2.2</w:t>
      </w:r>
      <w:r>
        <w:rPr>
          <w:rFonts w:hint="eastAsia" w:ascii="宋体" w:hAnsi="宋体" w:cs="宋体"/>
          <w:color w:val="auto"/>
          <w:szCs w:val="21"/>
          <w:highlight w:val="none"/>
        </w:rPr>
        <w:t>响应人应认真阅读竞争性谈判文件中所有的事项、格式、条款和技术规范等。响应人没有按照竞争性谈判文件要求递交全部资料，或者响应人没有对竞争性谈判文件的所有实质性要求作出全面响应是采购人的风险，并可能导致其竞争性谈判被否决。响应文件响应和编写的具体要求见竞争性谈判响应须知前附表。</w:t>
      </w:r>
    </w:p>
    <w:p w14:paraId="795D32FF">
      <w:pPr>
        <w:spacing w:line="400" w:lineRule="exact"/>
        <w:ind w:firstLine="420" w:firstLineChars="200"/>
        <w:rPr>
          <w:color w:val="auto"/>
          <w:szCs w:val="21"/>
          <w:highlight w:val="none"/>
        </w:rPr>
      </w:pPr>
      <w:r>
        <w:rPr>
          <w:rFonts w:hint="eastAsia"/>
          <w:color w:val="auto"/>
          <w:szCs w:val="21"/>
          <w:highlight w:val="none"/>
        </w:rPr>
        <w:t>3.2.3响应人提交的响应文件以及响应人与采购人就有关竞争性谈判的所有往来函电均应使用中文。响应人提交的证明文件和印刷的文献如使用其他语言的，相应内容应译成中文，在解释响应文件时以中文译本为准。</w:t>
      </w:r>
    </w:p>
    <w:p w14:paraId="5A83188B">
      <w:pPr>
        <w:spacing w:line="400" w:lineRule="exact"/>
        <w:ind w:firstLine="420" w:firstLineChars="200"/>
        <w:rPr>
          <w:color w:val="auto"/>
          <w:szCs w:val="21"/>
          <w:highlight w:val="none"/>
        </w:rPr>
      </w:pPr>
      <w:r>
        <w:rPr>
          <w:rFonts w:hint="eastAsia"/>
          <w:color w:val="auto"/>
          <w:szCs w:val="21"/>
          <w:highlight w:val="none"/>
        </w:rPr>
        <w:t>3.2.4响应文件应当使用不褪色的材料书写或打印，并盖单位公章。委托代理人签字的，响应文件应附法定代表人签署的授权委托书。响应文件应尽量避免涂改、行间插字或删除。如果出现上述情况，改动之处应加盖单位公章或由响应人的法定代表人或其委托代理人签字确认。响应文件盖章或者签字另有要求的，见竞争性谈判响应须知前附表。</w:t>
      </w:r>
    </w:p>
    <w:p w14:paraId="49AA18E4">
      <w:pPr>
        <w:spacing w:line="400" w:lineRule="exact"/>
        <w:rPr>
          <w:rFonts w:ascii="宋体" w:hAnsi="宋体"/>
          <w:b/>
          <w:color w:val="auto"/>
          <w:sz w:val="32"/>
          <w:szCs w:val="32"/>
          <w:highlight w:val="none"/>
        </w:rPr>
      </w:pPr>
      <w:bookmarkStart w:id="46" w:name="_Toc456551898"/>
      <w:bookmarkStart w:id="47" w:name="_Toc475552142"/>
      <w:r>
        <w:rPr>
          <w:rFonts w:hint="eastAsia" w:ascii="宋体" w:hAnsi="宋体"/>
          <w:b/>
          <w:color w:val="auto"/>
          <w:sz w:val="32"/>
          <w:szCs w:val="32"/>
          <w:highlight w:val="none"/>
        </w:rPr>
        <w:t>3.3 竞争性谈判报价</w:t>
      </w:r>
      <w:bookmarkEnd w:id="46"/>
      <w:bookmarkEnd w:id="47"/>
    </w:p>
    <w:p w14:paraId="7A8D1FAC">
      <w:pPr>
        <w:spacing w:line="400" w:lineRule="exact"/>
        <w:ind w:firstLine="420" w:firstLineChars="200"/>
        <w:rPr>
          <w:color w:val="auto"/>
          <w:highlight w:val="none"/>
        </w:rPr>
      </w:pPr>
      <w:r>
        <w:rPr>
          <w:rFonts w:hint="eastAsia"/>
          <w:color w:val="auto"/>
          <w:highlight w:val="none"/>
        </w:rPr>
        <w:t>3.3.1</w:t>
      </w:r>
      <w:r>
        <w:rPr>
          <w:rFonts w:hint="eastAsia"/>
          <w:bCs/>
          <w:color w:val="auto"/>
          <w:highlight w:val="none"/>
        </w:rPr>
        <w:t>竞争性谈判报价的具体要求见竞争性谈判响应须知前附表</w:t>
      </w:r>
      <w:r>
        <w:rPr>
          <w:rFonts w:hint="eastAsia" w:ascii="宋体" w:hAnsi="宋体"/>
          <w:color w:val="auto"/>
          <w:szCs w:val="21"/>
          <w:highlight w:val="none"/>
        </w:rPr>
        <w:t>。</w:t>
      </w:r>
    </w:p>
    <w:p w14:paraId="6178D2EA">
      <w:pPr>
        <w:spacing w:line="400" w:lineRule="exact"/>
        <w:ind w:firstLine="420" w:firstLineChars="200"/>
        <w:rPr>
          <w:color w:val="auto"/>
          <w:highlight w:val="none"/>
        </w:rPr>
      </w:pPr>
      <w:r>
        <w:rPr>
          <w:rFonts w:hint="eastAsia"/>
          <w:color w:val="auto"/>
          <w:highlight w:val="none"/>
        </w:rPr>
        <w:t>3.3.2竞争性谈判货币：人民币</w:t>
      </w:r>
      <w:r>
        <w:rPr>
          <w:rFonts w:hint="eastAsia" w:ascii="宋体" w:hAnsi="宋体"/>
          <w:color w:val="auto"/>
          <w:szCs w:val="21"/>
          <w:highlight w:val="none"/>
        </w:rPr>
        <w:t>。响应文件中如出现其他币种，一律以唱标当天中国人民银行公布的汇率折算为人民币。</w:t>
      </w:r>
    </w:p>
    <w:p w14:paraId="1F4B2291">
      <w:pPr>
        <w:spacing w:line="400" w:lineRule="exact"/>
        <w:ind w:firstLine="420" w:firstLineChars="200"/>
        <w:rPr>
          <w:color w:val="auto"/>
          <w:highlight w:val="none"/>
        </w:rPr>
      </w:pPr>
      <w:r>
        <w:rPr>
          <w:rFonts w:hint="eastAsia"/>
          <w:color w:val="auto"/>
          <w:highlight w:val="none"/>
        </w:rPr>
        <w:t xml:space="preserve">3.3.3 </w:t>
      </w:r>
      <w:r>
        <w:rPr>
          <w:rFonts w:hint="eastAsia"/>
          <w:b/>
          <w:color w:val="auto"/>
          <w:highlight w:val="none"/>
        </w:rPr>
        <w:t>采购人设有最高谈判限价的，响应人的竞争性谈判报价不得超过最高限价，否则其谈判将被否决。</w:t>
      </w:r>
      <w:r>
        <w:rPr>
          <w:rFonts w:hint="eastAsia"/>
          <w:color w:val="auto"/>
          <w:highlight w:val="none"/>
        </w:rPr>
        <w:t>最高竞争性谈判限价或其计算方法见竞争性谈判响应须知前附表。</w:t>
      </w:r>
    </w:p>
    <w:p w14:paraId="0833EB10">
      <w:pPr>
        <w:spacing w:line="400" w:lineRule="exact"/>
        <w:ind w:firstLine="420" w:firstLineChars="200"/>
        <w:rPr>
          <w:color w:val="auto"/>
          <w:highlight w:val="none"/>
        </w:rPr>
      </w:pPr>
      <w:r>
        <w:rPr>
          <w:rFonts w:hint="eastAsia"/>
          <w:color w:val="auto"/>
          <w:highlight w:val="none"/>
        </w:rPr>
        <w:t>3.3.4 采购人不接受响应人的任何低于成本报价的不正当竞争方式。</w:t>
      </w:r>
    </w:p>
    <w:p w14:paraId="42DF8DAB">
      <w:pPr>
        <w:spacing w:line="400" w:lineRule="exact"/>
        <w:rPr>
          <w:rFonts w:ascii="宋体" w:hAnsi="宋体"/>
          <w:b/>
          <w:color w:val="auto"/>
          <w:sz w:val="32"/>
          <w:szCs w:val="32"/>
          <w:highlight w:val="none"/>
        </w:rPr>
      </w:pPr>
      <w:bookmarkStart w:id="48" w:name="_Toc456551899"/>
      <w:bookmarkStart w:id="49" w:name="_Toc475552143"/>
      <w:r>
        <w:rPr>
          <w:rFonts w:hint="eastAsia" w:ascii="宋体" w:hAnsi="宋体"/>
          <w:b/>
          <w:color w:val="auto"/>
          <w:sz w:val="32"/>
          <w:szCs w:val="32"/>
          <w:highlight w:val="none"/>
        </w:rPr>
        <w:t>3.4 竞争性谈判有效期</w:t>
      </w:r>
      <w:bookmarkEnd w:id="48"/>
      <w:bookmarkEnd w:id="49"/>
    </w:p>
    <w:p w14:paraId="2F8B08B5">
      <w:pPr>
        <w:spacing w:line="400" w:lineRule="exact"/>
        <w:ind w:firstLine="420" w:firstLineChars="200"/>
        <w:rPr>
          <w:color w:val="auto"/>
          <w:highlight w:val="none"/>
        </w:rPr>
      </w:pPr>
      <w:r>
        <w:rPr>
          <w:rFonts w:hint="eastAsia"/>
          <w:color w:val="auto"/>
          <w:highlight w:val="none"/>
        </w:rPr>
        <w:t>3.4.1谈判有效期从递交响应文件截止日起计算，竞争性谈判有效期的具体时间见竞争性谈判响应须知前附表，在此期间，响应人不得要求撤销或修改其响应文件。</w:t>
      </w:r>
      <w:r>
        <w:rPr>
          <w:rFonts w:hint="eastAsia"/>
          <w:b/>
          <w:color w:val="auto"/>
          <w:highlight w:val="none"/>
        </w:rPr>
        <w:t>谈判有效期不满足竞争性谈判文件要求的谈判将被否决。</w:t>
      </w:r>
    </w:p>
    <w:p w14:paraId="3CCA5E3C">
      <w:pPr>
        <w:spacing w:line="400" w:lineRule="exact"/>
        <w:ind w:firstLine="420" w:firstLineChars="200"/>
        <w:rPr>
          <w:color w:val="auto"/>
          <w:highlight w:val="none"/>
        </w:rPr>
      </w:pPr>
      <w:r>
        <w:rPr>
          <w:rFonts w:hint="eastAsia"/>
          <w:color w:val="auto"/>
          <w:highlight w:val="none"/>
        </w:rPr>
        <w:t>3.4.2</w:t>
      </w:r>
      <w:r>
        <w:rPr>
          <w:rFonts w:hint="eastAsia" w:ascii="宋体" w:hAnsi="宋体" w:cs="宋体"/>
          <w:color w:val="auto"/>
          <w:szCs w:val="21"/>
          <w:highlight w:val="none"/>
        </w:rPr>
        <w:t>出现特殊情况需要延长谈判有效期的，采购人以书面形式通知所有响应人延长竞争性谈判有效期。响应人同意延长的，应相应延长其竞争性谈判保证金的有效期，但不得要求或被允许修改或撤销其响应文件；响应人拒绝延长的，其响应失效，但响应人有权收回其响应保证金。</w:t>
      </w:r>
    </w:p>
    <w:p w14:paraId="2EE223D9">
      <w:pPr>
        <w:spacing w:line="400" w:lineRule="exact"/>
        <w:rPr>
          <w:rFonts w:ascii="宋体" w:hAnsi="宋体"/>
          <w:b/>
          <w:color w:val="auto"/>
          <w:sz w:val="32"/>
          <w:szCs w:val="32"/>
          <w:highlight w:val="none"/>
        </w:rPr>
      </w:pPr>
      <w:bookmarkStart w:id="50" w:name="_Toc475552144"/>
      <w:bookmarkStart w:id="51" w:name="_Toc456551900"/>
      <w:r>
        <w:rPr>
          <w:rFonts w:hint="eastAsia" w:ascii="宋体" w:hAnsi="宋体"/>
          <w:b/>
          <w:color w:val="auto"/>
          <w:sz w:val="32"/>
          <w:szCs w:val="32"/>
          <w:highlight w:val="none"/>
        </w:rPr>
        <w:t>3.5 竞争性谈判保证金</w:t>
      </w:r>
      <w:bookmarkEnd w:id="50"/>
      <w:bookmarkEnd w:id="51"/>
    </w:p>
    <w:p w14:paraId="78052E91">
      <w:pPr>
        <w:spacing w:line="400" w:lineRule="exact"/>
        <w:ind w:firstLine="420" w:firstLineChars="200"/>
        <w:rPr>
          <w:color w:val="auto"/>
          <w:highlight w:val="none"/>
        </w:rPr>
      </w:pPr>
      <w:r>
        <w:rPr>
          <w:rFonts w:hint="eastAsia"/>
          <w:color w:val="auto"/>
          <w:highlight w:val="none"/>
        </w:rPr>
        <w:t>3.5.1 采购人要求响应人提交竞争性谈判保证金的，响应人必须在提交响应文件的同时，按照竞争性谈判响应须知前附表的规定提交竞争性谈判保证金。</w:t>
      </w:r>
    </w:p>
    <w:p w14:paraId="5DA80EF6">
      <w:pPr>
        <w:spacing w:line="400" w:lineRule="exact"/>
        <w:ind w:firstLine="420" w:firstLineChars="200"/>
        <w:rPr>
          <w:color w:val="auto"/>
          <w:highlight w:val="none"/>
        </w:rPr>
      </w:pPr>
      <w:r>
        <w:rPr>
          <w:rFonts w:hint="eastAsia"/>
          <w:color w:val="auto"/>
          <w:highlight w:val="none"/>
        </w:rPr>
        <w:t>3.5.2 采购人可以规定竞争性谈判保证金是以现金、支票、银行汇票、中国注册的银行出具的银行保函等方式递交。竞争性谈判保证金的形式见竞争性谈判响应须知前附表。</w:t>
      </w:r>
    </w:p>
    <w:p w14:paraId="090F9696">
      <w:pPr>
        <w:spacing w:line="400" w:lineRule="exact"/>
        <w:ind w:firstLine="420" w:firstLineChars="200"/>
        <w:rPr>
          <w:color w:val="auto"/>
          <w:highlight w:val="none"/>
        </w:rPr>
      </w:pPr>
      <w:r>
        <w:rPr>
          <w:rFonts w:hint="eastAsia"/>
          <w:color w:val="auto"/>
          <w:highlight w:val="none"/>
        </w:rPr>
        <w:t>3.5.3 采购人应当在项目书面合同签订后5日内向成交人和未成交的响应人无息退还竞争性谈判保证金，退还至响应人原转出账户。</w:t>
      </w:r>
    </w:p>
    <w:p w14:paraId="4FF5D789">
      <w:pPr>
        <w:spacing w:line="400" w:lineRule="exact"/>
        <w:ind w:firstLine="420" w:firstLineChars="200"/>
        <w:rPr>
          <w:color w:val="auto"/>
          <w:highlight w:val="none"/>
        </w:rPr>
      </w:pPr>
      <w:r>
        <w:rPr>
          <w:rFonts w:hint="eastAsia"/>
          <w:color w:val="auto"/>
          <w:highlight w:val="none"/>
        </w:rPr>
        <w:t xml:space="preserve">3.5.4 有下列情形之一的，竞争性谈判保证金可不予退还： </w:t>
      </w:r>
    </w:p>
    <w:p w14:paraId="4FD90A75">
      <w:pPr>
        <w:spacing w:line="400" w:lineRule="exact"/>
        <w:ind w:firstLine="718" w:firstLineChars="342"/>
        <w:rPr>
          <w:color w:val="auto"/>
          <w:highlight w:val="none"/>
        </w:rPr>
      </w:pPr>
      <w:r>
        <w:rPr>
          <w:rFonts w:hint="eastAsia"/>
          <w:color w:val="auto"/>
          <w:highlight w:val="none"/>
        </w:rPr>
        <w:t>（1）</w:t>
      </w:r>
      <w:r>
        <w:rPr>
          <w:rFonts w:hint="eastAsia"/>
          <w:color w:val="auto"/>
          <w:szCs w:val="18"/>
          <w:highlight w:val="none"/>
        </w:rPr>
        <w:t>响应人在规定的竞争性谈判有效期内撤销或修改其响应文件的；</w:t>
      </w:r>
    </w:p>
    <w:p w14:paraId="3F75DDDC">
      <w:pPr>
        <w:spacing w:line="400" w:lineRule="exact"/>
        <w:ind w:firstLine="718" w:firstLineChars="342"/>
        <w:rPr>
          <w:color w:val="auto"/>
          <w:szCs w:val="18"/>
          <w:highlight w:val="none"/>
        </w:rPr>
      </w:pPr>
      <w:r>
        <w:rPr>
          <w:rFonts w:hint="eastAsia"/>
          <w:color w:val="auto"/>
          <w:szCs w:val="18"/>
          <w:highlight w:val="none"/>
        </w:rPr>
        <w:t>（2）成交人未能在规定期限内提交履约担保或签订合同协议的；</w:t>
      </w:r>
    </w:p>
    <w:p w14:paraId="25261CAD">
      <w:pPr>
        <w:spacing w:line="400" w:lineRule="exact"/>
        <w:ind w:firstLine="718" w:firstLineChars="342"/>
        <w:rPr>
          <w:color w:val="auto"/>
          <w:szCs w:val="18"/>
          <w:highlight w:val="none"/>
        </w:rPr>
      </w:pPr>
      <w:r>
        <w:rPr>
          <w:rFonts w:hint="eastAsia"/>
          <w:color w:val="auto"/>
          <w:szCs w:val="18"/>
          <w:highlight w:val="none"/>
        </w:rPr>
        <w:t>（3）响应人有串通竞争性谈判、弄虚作假等行为的；</w:t>
      </w:r>
    </w:p>
    <w:p w14:paraId="29714381">
      <w:pPr>
        <w:spacing w:line="400" w:lineRule="exact"/>
        <w:ind w:firstLine="718" w:firstLineChars="342"/>
        <w:rPr>
          <w:color w:val="auto"/>
          <w:szCs w:val="18"/>
          <w:highlight w:val="none"/>
        </w:rPr>
      </w:pPr>
      <w:r>
        <w:rPr>
          <w:rFonts w:hint="eastAsia"/>
          <w:color w:val="auto"/>
          <w:szCs w:val="18"/>
          <w:highlight w:val="none"/>
        </w:rPr>
        <w:t>（4）响应人以他人名义响应、与他人串通响应、以行贿手段谋取成交、弄虚作假等行为。</w:t>
      </w:r>
    </w:p>
    <w:p w14:paraId="33A70AF0">
      <w:pPr>
        <w:spacing w:line="400" w:lineRule="exact"/>
        <w:ind w:firstLine="718" w:firstLineChars="342"/>
        <w:rPr>
          <w:color w:val="auto"/>
          <w:szCs w:val="18"/>
          <w:highlight w:val="none"/>
        </w:rPr>
      </w:pPr>
      <w:r>
        <w:rPr>
          <w:rFonts w:hint="eastAsia"/>
          <w:color w:val="auto"/>
          <w:szCs w:val="18"/>
          <w:highlight w:val="none"/>
        </w:rPr>
        <w:t>（5）成交人提交虚假资料或无效资料成交，影响成交结果的。</w:t>
      </w:r>
    </w:p>
    <w:p w14:paraId="3FC6620D">
      <w:pPr>
        <w:spacing w:line="400" w:lineRule="exact"/>
        <w:ind w:firstLine="718" w:firstLineChars="342"/>
        <w:rPr>
          <w:color w:val="auto"/>
          <w:szCs w:val="18"/>
          <w:highlight w:val="none"/>
        </w:rPr>
      </w:pPr>
      <w:r>
        <w:rPr>
          <w:rFonts w:hint="eastAsia"/>
          <w:color w:val="auto"/>
          <w:szCs w:val="18"/>
          <w:highlight w:val="none"/>
        </w:rPr>
        <w:t>（7）成交人无正当理由拒绝提交相关证件原件核对的。</w:t>
      </w:r>
    </w:p>
    <w:p w14:paraId="2F2AC66F">
      <w:pPr>
        <w:spacing w:line="400" w:lineRule="exact"/>
        <w:ind w:firstLine="718" w:firstLineChars="342"/>
        <w:rPr>
          <w:color w:val="auto"/>
          <w:szCs w:val="18"/>
          <w:highlight w:val="none"/>
        </w:rPr>
      </w:pPr>
      <w:r>
        <w:rPr>
          <w:rFonts w:hint="eastAsia"/>
          <w:color w:val="auto"/>
          <w:szCs w:val="18"/>
          <w:highlight w:val="none"/>
        </w:rPr>
        <w:t>（8）成交人将本项目转让给他人，或者在响应文件中未说明，且未经采购人同意，将成交项目分包给他人的；</w:t>
      </w:r>
    </w:p>
    <w:p w14:paraId="57235E32">
      <w:pPr>
        <w:spacing w:line="400" w:lineRule="exact"/>
        <w:ind w:firstLine="718" w:firstLineChars="342"/>
        <w:rPr>
          <w:color w:val="auto"/>
          <w:szCs w:val="18"/>
          <w:highlight w:val="none"/>
        </w:rPr>
      </w:pPr>
      <w:r>
        <w:rPr>
          <w:rFonts w:hint="eastAsia"/>
          <w:color w:val="auto"/>
          <w:szCs w:val="18"/>
          <w:highlight w:val="none"/>
        </w:rPr>
        <w:t>（9）其他规定见竞争性谈判响应须知前附表。</w:t>
      </w:r>
    </w:p>
    <w:p w14:paraId="5A54CBAD">
      <w:pPr>
        <w:spacing w:line="400" w:lineRule="exact"/>
        <w:ind w:firstLine="422" w:firstLineChars="200"/>
        <w:rPr>
          <w:b/>
          <w:color w:val="auto"/>
          <w:highlight w:val="none"/>
        </w:rPr>
      </w:pPr>
      <w:r>
        <w:rPr>
          <w:rFonts w:hint="eastAsia"/>
          <w:b/>
          <w:color w:val="auto"/>
          <w:highlight w:val="none"/>
        </w:rPr>
        <w:t>3.5.5 未按要求提交竞争性谈判保证金或提交的竞争性谈判保证金不足的竞争性谈判将被否决。</w:t>
      </w:r>
    </w:p>
    <w:p w14:paraId="45D2F375">
      <w:pPr>
        <w:spacing w:line="400" w:lineRule="exact"/>
        <w:rPr>
          <w:rFonts w:ascii="宋体" w:hAnsi="宋体"/>
          <w:b/>
          <w:color w:val="auto"/>
          <w:sz w:val="32"/>
          <w:szCs w:val="32"/>
          <w:highlight w:val="none"/>
        </w:rPr>
      </w:pPr>
      <w:bookmarkStart w:id="52" w:name="_Toc227057904"/>
      <w:bookmarkStart w:id="53" w:name="_Toc226969298"/>
      <w:bookmarkStart w:id="54" w:name="_Toc456551902"/>
      <w:bookmarkStart w:id="55" w:name="_Toc475552146"/>
      <w:r>
        <w:rPr>
          <w:rFonts w:hint="eastAsia" w:ascii="宋体" w:hAnsi="宋体"/>
          <w:b/>
          <w:color w:val="auto"/>
          <w:sz w:val="32"/>
          <w:szCs w:val="32"/>
          <w:highlight w:val="none"/>
        </w:rPr>
        <w:t>3.6 响应文件的式样</w:t>
      </w:r>
      <w:bookmarkEnd w:id="52"/>
      <w:bookmarkEnd w:id="53"/>
      <w:r>
        <w:rPr>
          <w:rFonts w:hint="eastAsia" w:ascii="宋体" w:hAnsi="宋体"/>
          <w:b/>
          <w:color w:val="auto"/>
          <w:sz w:val="32"/>
          <w:szCs w:val="32"/>
          <w:highlight w:val="none"/>
        </w:rPr>
        <w:t>、密封和标记</w:t>
      </w:r>
      <w:bookmarkEnd w:id="54"/>
      <w:bookmarkEnd w:id="55"/>
    </w:p>
    <w:p w14:paraId="5BA91D74">
      <w:pPr>
        <w:spacing w:line="400" w:lineRule="exact"/>
        <w:ind w:firstLine="420" w:firstLineChars="200"/>
        <w:rPr>
          <w:color w:val="auto"/>
          <w:szCs w:val="21"/>
          <w:highlight w:val="none"/>
        </w:rPr>
      </w:pPr>
      <w:r>
        <w:rPr>
          <w:rFonts w:hint="eastAsia"/>
          <w:color w:val="auto"/>
          <w:szCs w:val="21"/>
          <w:highlight w:val="none"/>
        </w:rPr>
        <w:t>3.6.1响应人应当编制一份响应文件“正本”和竞争性谈判响应须知前附表所述份数的“副本”，副本为正本复印件。响应文件正本和副本如有不一致之处，以正本为准。</w:t>
      </w:r>
    </w:p>
    <w:p w14:paraId="4E2F3417">
      <w:pPr>
        <w:spacing w:line="400" w:lineRule="exact"/>
        <w:ind w:firstLine="420" w:firstLineChars="200"/>
        <w:rPr>
          <w:color w:val="auto"/>
          <w:szCs w:val="21"/>
          <w:highlight w:val="none"/>
        </w:rPr>
      </w:pPr>
      <w:r>
        <w:rPr>
          <w:rFonts w:hint="eastAsia"/>
          <w:color w:val="auto"/>
          <w:szCs w:val="21"/>
          <w:highlight w:val="none"/>
        </w:rPr>
        <w:t>3.6.2每份响应文件的正本、副本及唱标信封应当分别装订，并于封面上明确标明“正本”、“副本”和“唱标信封”字样。</w:t>
      </w:r>
      <w:r>
        <w:rPr>
          <w:rFonts w:hint="eastAsia" w:ascii="宋体" w:hAnsi="宋体"/>
          <w:color w:val="auto"/>
          <w:szCs w:val="21"/>
          <w:highlight w:val="none"/>
        </w:rPr>
        <w:t>正本或副本应按目录顺序要求排列并牢固装订成册。不能有脱页，不能使用活页夹装订。</w:t>
      </w:r>
    </w:p>
    <w:p w14:paraId="4231725B">
      <w:pPr>
        <w:spacing w:line="400" w:lineRule="exact"/>
        <w:ind w:firstLine="420" w:firstLineChars="200"/>
        <w:rPr>
          <w:color w:val="auto"/>
          <w:szCs w:val="21"/>
          <w:highlight w:val="none"/>
        </w:rPr>
      </w:pPr>
      <w:r>
        <w:rPr>
          <w:rFonts w:hint="eastAsia"/>
          <w:color w:val="auto"/>
          <w:szCs w:val="21"/>
          <w:highlight w:val="none"/>
        </w:rPr>
        <w:t>3.6.3响应文件应当按照竞争性谈判文件规定密封包装，并于封装封面上明确标明“正本”、“副本”和“唱标信封”字样。密封的所有粘接缝隙必须加盖单位章或者由响应人的法定代表人或其委托代理人签字。</w:t>
      </w:r>
    </w:p>
    <w:p w14:paraId="1887E78D">
      <w:pPr>
        <w:spacing w:line="400" w:lineRule="exact"/>
        <w:ind w:firstLine="420" w:firstLineChars="200"/>
        <w:rPr>
          <w:color w:val="auto"/>
          <w:szCs w:val="21"/>
          <w:highlight w:val="none"/>
        </w:rPr>
      </w:pPr>
      <w:r>
        <w:rPr>
          <w:rFonts w:hint="eastAsia"/>
          <w:color w:val="auto"/>
          <w:szCs w:val="21"/>
          <w:highlight w:val="none"/>
        </w:rPr>
        <w:t>3.6.4外层包封应当写明采购人名称和地址、项目名称、采购代理机构编号、并注明唱标时间以前不得开封。还应当写明响应人的名称与地址、联系方式，以便竞争性谈判出现逾期送达时能原封退回。</w:t>
      </w:r>
    </w:p>
    <w:p w14:paraId="7C3B4626">
      <w:pPr>
        <w:spacing w:line="400" w:lineRule="exact"/>
        <w:ind w:firstLine="420" w:firstLineChars="200"/>
        <w:rPr>
          <w:color w:val="auto"/>
          <w:szCs w:val="21"/>
          <w:highlight w:val="none"/>
        </w:rPr>
      </w:pPr>
      <w:r>
        <w:rPr>
          <w:rFonts w:hint="eastAsia"/>
          <w:color w:val="auto"/>
          <w:szCs w:val="21"/>
          <w:highlight w:val="none"/>
        </w:rPr>
        <w:t>3.6.5提交响应文件时，采购人应当对符合竞争性谈判文件规定密封和标记的响应文件进行签收。</w:t>
      </w:r>
    </w:p>
    <w:p w14:paraId="43795BAE">
      <w:pPr>
        <w:spacing w:line="400" w:lineRule="exact"/>
        <w:ind w:firstLine="420" w:firstLineChars="200"/>
        <w:rPr>
          <w:color w:val="auto"/>
          <w:szCs w:val="21"/>
          <w:highlight w:val="none"/>
        </w:rPr>
      </w:pPr>
      <w:r>
        <w:rPr>
          <w:rFonts w:hint="eastAsia"/>
          <w:color w:val="auto"/>
          <w:szCs w:val="21"/>
          <w:highlight w:val="none"/>
        </w:rPr>
        <w:t>3.6.6采购人对于响应文件密封、标记另有要求的，见竞争性谈判响应须知前附表。</w:t>
      </w:r>
    </w:p>
    <w:p w14:paraId="75A06A89">
      <w:pPr>
        <w:pStyle w:val="6"/>
        <w:rPr>
          <w:rFonts w:ascii="黑体" w:hAnsi="黑体"/>
          <w:color w:val="auto"/>
          <w:highlight w:val="none"/>
        </w:rPr>
      </w:pPr>
      <w:bookmarkStart w:id="56" w:name="_Toc456551904"/>
      <w:bookmarkStart w:id="57" w:name="_Toc11193"/>
      <w:r>
        <w:rPr>
          <w:rFonts w:hint="eastAsia" w:ascii="黑体" w:hAnsi="黑体"/>
          <w:color w:val="auto"/>
          <w:highlight w:val="none"/>
        </w:rPr>
        <w:t xml:space="preserve">4. </w:t>
      </w:r>
      <w:bookmarkEnd w:id="56"/>
      <w:r>
        <w:rPr>
          <w:rFonts w:hint="eastAsia" w:ascii="黑体" w:hAnsi="黑体"/>
          <w:color w:val="auto"/>
          <w:highlight w:val="none"/>
        </w:rPr>
        <w:t>竞争性谈判</w:t>
      </w:r>
      <w:bookmarkEnd w:id="57"/>
    </w:p>
    <w:p w14:paraId="6AF67FF9">
      <w:pPr>
        <w:spacing w:line="400" w:lineRule="exact"/>
        <w:rPr>
          <w:rFonts w:ascii="宋体" w:hAnsi="宋体"/>
          <w:b/>
          <w:color w:val="auto"/>
          <w:sz w:val="32"/>
          <w:szCs w:val="32"/>
          <w:highlight w:val="none"/>
        </w:rPr>
      </w:pPr>
      <w:bookmarkStart w:id="58" w:name="_Toc456551905"/>
      <w:bookmarkStart w:id="59" w:name="_Toc475552148"/>
      <w:r>
        <w:rPr>
          <w:rFonts w:hint="eastAsia" w:ascii="宋体" w:hAnsi="宋体"/>
          <w:b/>
          <w:color w:val="auto"/>
          <w:sz w:val="32"/>
          <w:szCs w:val="32"/>
          <w:highlight w:val="none"/>
        </w:rPr>
        <w:t>4.1 响应文件的递交</w:t>
      </w:r>
      <w:bookmarkEnd w:id="58"/>
      <w:bookmarkEnd w:id="59"/>
    </w:p>
    <w:p w14:paraId="045AC0F2">
      <w:pPr>
        <w:spacing w:line="400" w:lineRule="exact"/>
        <w:ind w:firstLine="420" w:firstLineChars="200"/>
        <w:rPr>
          <w:color w:val="auto"/>
          <w:highlight w:val="none"/>
        </w:rPr>
      </w:pPr>
      <w:r>
        <w:rPr>
          <w:rFonts w:hint="eastAsia"/>
          <w:color w:val="auto"/>
          <w:highlight w:val="none"/>
        </w:rPr>
        <w:t>4.1.1响应文件递交截止时间：见竞争性谈判响应须知前附表。</w:t>
      </w:r>
    </w:p>
    <w:p w14:paraId="37D0482D">
      <w:pPr>
        <w:spacing w:line="400" w:lineRule="exact"/>
        <w:ind w:firstLine="420" w:firstLineChars="200"/>
        <w:rPr>
          <w:color w:val="auto"/>
          <w:highlight w:val="none"/>
        </w:rPr>
      </w:pPr>
      <w:r>
        <w:rPr>
          <w:rFonts w:hint="eastAsia"/>
          <w:color w:val="auto"/>
          <w:highlight w:val="none"/>
        </w:rPr>
        <w:t>4.1.2 响应人递交响应文件的地点：见竞争性谈判响应须知前附表。</w:t>
      </w:r>
    </w:p>
    <w:p w14:paraId="7E4CEC95">
      <w:pPr>
        <w:spacing w:line="400" w:lineRule="exact"/>
        <w:ind w:firstLine="420" w:firstLineChars="200"/>
        <w:rPr>
          <w:color w:val="auto"/>
          <w:highlight w:val="none"/>
        </w:rPr>
      </w:pPr>
      <w:r>
        <w:rPr>
          <w:rFonts w:hint="eastAsia"/>
          <w:color w:val="auto"/>
          <w:highlight w:val="none"/>
        </w:rPr>
        <w:t>4.1.3采购人/采购代理机构收到响应文件后，向响应人分别进行签收（唱标前不得提前公开已签收的响应人信息）。</w:t>
      </w:r>
    </w:p>
    <w:p w14:paraId="4D97B248">
      <w:pPr>
        <w:spacing w:line="400" w:lineRule="exact"/>
        <w:ind w:firstLine="420" w:firstLineChars="200"/>
        <w:rPr>
          <w:color w:val="auto"/>
          <w:highlight w:val="none"/>
        </w:rPr>
      </w:pPr>
      <w:r>
        <w:rPr>
          <w:rFonts w:hint="eastAsia"/>
          <w:color w:val="auto"/>
          <w:highlight w:val="none"/>
        </w:rPr>
        <w:t>4.1.4除竞争性谈判响应须知前附表另有规定外，响应人所递交的响应文件不予退还。</w:t>
      </w:r>
    </w:p>
    <w:p w14:paraId="476CF41A">
      <w:pPr>
        <w:spacing w:line="400" w:lineRule="exact"/>
        <w:ind w:firstLine="420" w:firstLineChars="200"/>
        <w:rPr>
          <w:color w:val="auto"/>
          <w:highlight w:val="none"/>
        </w:rPr>
      </w:pPr>
      <w:r>
        <w:rPr>
          <w:rFonts w:hint="eastAsia"/>
          <w:color w:val="auto"/>
          <w:highlight w:val="none"/>
        </w:rPr>
        <w:t>4.1.5出现以下情形时，采购人不予接收响应文件：</w:t>
      </w:r>
    </w:p>
    <w:p w14:paraId="5D27D57A">
      <w:pPr>
        <w:spacing w:line="400" w:lineRule="exact"/>
        <w:ind w:firstLine="420" w:firstLineChars="200"/>
        <w:rPr>
          <w:color w:val="auto"/>
          <w:highlight w:val="none"/>
        </w:rPr>
      </w:pPr>
      <w:r>
        <w:rPr>
          <w:rFonts w:hint="eastAsia"/>
          <w:color w:val="auto"/>
          <w:highlight w:val="none"/>
        </w:rPr>
        <w:t>（1）逾期送达或者未送达指定地点的；</w:t>
      </w:r>
    </w:p>
    <w:p w14:paraId="167938A9">
      <w:pPr>
        <w:spacing w:line="400" w:lineRule="exact"/>
        <w:ind w:firstLine="420" w:firstLineChars="200"/>
        <w:rPr>
          <w:color w:val="auto"/>
          <w:highlight w:val="none"/>
        </w:rPr>
      </w:pPr>
      <w:r>
        <w:rPr>
          <w:rFonts w:hint="eastAsia"/>
          <w:color w:val="auto"/>
          <w:highlight w:val="none"/>
        </w:rPr>
        <w:t>（2）未按竞争性谈判文件要求密封的。</w:t>
      </w:r>
    </w:p>
    <w:p w14:paraId="6CA7C23F">
      <w:pPr>
        <w:spacing w:line="400" w:lineRule="exact"/>
        <w:rPr>
          <w:rFonts w:ascii="宋体" w:hAnsi="宋体"/>
          <w:b/>
          <w:color w:val="auto"/>
          <w:sz w:val="32"/>
          <w:szCs w:val="32"/>
          <w:highlight w:val="none"/>
        </w:rPr>
      </w:pPr>
      <w:bookmarkStart w:id="60" w:name="_Toc475552149"/>
      <w:bookmarkStart w:id="61" w:name="_Toc456551906"/>
      <w:r>
        <w:rPr>
          <w:rFonts w:hint="eastAsia" w:ascii="宋体" w:hAnsi="宋体"/>
          <w:b/>
          <w:color w:val="auto"/>
          <w:sz w:val="32"/>
          <w:szCs w:val="32"/>
          <w:highlight w:val="none"/>
        </w:rPr>
        <w:t>4.2 响应文件的修改、撤回和撤销</w:t>
      </w:r>
      <w:bookmarkEnd w:id="60"/>
      <w:bookmarkEnd w:id="61"/>
    </w:p>
    <w:p w14:paraId="2B6988D5">
      <w:pPr>
        <w:spacing w:line="400" w:lineRule="exact"/>
        <w:ind w:firstLine="420" w:firstLineChars="200"/>
        <w:rPr>
          <w:color w:val="auto"/>
          <w:highlight w:val="none"/>
        </w:rPr>
      </w:pPr>
      <w:r>
        <w:rPr>
          <w:rFonts w:hint="eastAsia"/>
          <w:color w:val="auto"/>
          <w:highlight w:val="none"/>
        </w:rPr>
        <w:t>4.2.1 在规定的竞争性谈判截止时间前，响应人可以修改或撤回已递交的响应文件。</w:t>
      </w:r>
    </w:p>
    <w:p w14:paraId="27DC4101">
      <w:pPr>
        <w:spacing w:line="400" w:lineRule="exact"/>
        <w:ind w:firstLine="420" w:firstLineChars="200"/>
        <w:rPr>
          <w:color w:val="auto"/>
          <w:highlight w:val="none"/>
        </w:rPr>
      </w:pPr>
      <w:r>
        <w:rPr>
          <w:rFonts w:hint="eastAsia"/>
          <w:color w:val="auto"/>
          <w:highlight w:val="none"/>
        </w:rPr>
        <w:t>4.2.2响应人修改后的响应文件，应当在规定的竞争性谈判截止时间前按竞争性谈判文件的规定编制、密封、标记、提交和送达。</w:t>
      </w:r>
    </w:p>
    <w:p w14:paraId="227182AE">
      <w:pPr>
        <w:spacing w:line="400" w:lineRule="exact"/>
        <w:ind w:firstLine="420" w:firstLineChars="200"/>
        <w:rPr>
          <w:color w:val="auto"/>
          <w:highlight w:val="none"/>
        </w:rPr>
      </w:pPr>
      <w:r>
        <w:rPr>
          <w:rFonts w:hint="eastAsia"/>
          <w:color w:val="auto"/>
          <w:highlight w:val="none"/>
        </w:rPr>
        <w:t>4.2.3 响应人撤回已递交的响应文件，应当书面通知采购人。采购人已收取竞争性谈判保证金的，应当自收到响应人书面撤回通知之日起5日内退还。</w:t>
      </w:r>
    </w:p>
    <w:p w14:paraId="6C3BA7A7">
      <w:pPr>
        <w:spacing w:line="400" w:lineRule="exact"/>
        <w:ind w:firstLine="420" w:firstLineChars="200"/>
        <w:rPr>
          <w:color w:val="auto"/>
          <w:highlight w:val="none"/>
        </w:rPr>
      </w:pPr>
      <w:r>
        <w:rPr>
          <w:rFonts w:hint="eastAsia"/>
          <w:color w:val="auto"/>
          <w:highlight w:val="none"/>
        </w:rPr>
        <w:t>4.2.4 响应人在规定的竞争性谈判截止时间后，不得在竞争性谈判有效期内撤销其竞争性谈判，否则采购人有权不退还其竞争性谈判保证金。</w:t>
      </w:r>
    </w:p>
    <w:p w14:paraId="131CCA6B">
      <w:pPr>
        <w:pStyle w:val="6"/>
        <w:rPr>
          <w:color w:val="auto"/>
          <w:highlight w:val="none"/>
        </w:rPr>
      </w:pPr>
      <w:bookmarkStart w:id="62" w:name="_Toc456551907"/>
      <w:bookmarkStart w:id="63" w:name="_Toc7925"/>
      <w:r>
        <w:rPr>
          <w:rFonts w:hint="eastAsia"/>
          <w:color w:val="auto"/>
          <w:highlight w:val="none"/>
        </w:rPr>
        <w:t xml:space="preserve">5. </w:t>
      </w:r>
      <w:bookmarkEnd w:id="62"/>
      <w:r>
        <w:rPr>
          <w:rFonts w:hint="eastAsia"/>
          <w:color w:val="auto"/>
          <w:highlight w:val="none"/>
        </w:rPr>
        <w:t>公开唱标</w:t>
      </w:r>
      <w:bookmarkEnd w:id="63"/>
    </w:p>
    <w:p w14:paraId="1F1D0E5D">
      <w:pPr>
        <w:spacing w:line="400" w:lineRule="exact"/>
        <w:rPr>
          <w:rFonts w:ascii="宋体" w:hAnsi="宋体"/>
          <w:b/>
          <w:color w:val="auto"/>
          <w:sz w:val="32"/>
          <w:szCs w:val="32"/>
          <w:highlight w:val="none"/>
        </w:rPr>
      </w:pPr>
      <w:bookmarkStart w:id="64" w:name="_Toc475552151"/>
      <w:bookmarkStart w:id="65" w:name="_Toc456551908"/>
      <w:r>
        <w:rPr>
          <w:rFonts w:hint="eastAsia" w:ascii="宋体" w:hAnsi="宋体"/>
          <w:b/>
          <w:color w:val="auto"/>
          <w:sz w:val="32"/>
          <w:szCs w:val="32"/>
          <w:highlight w:val="none"/>
        </w:rPr>
        <w:t>5.1 唱标时间和地点</w:t>
      </w:r>
      <w:bookmarkEnd w:id="64"/>
      <w:bookmarkEnd w:id="65"/>
    </w:p>
    <w:p w14:paraId="34192C46">
      <w:pPr>
        <w:spacing w:line="400" w:lineRule="exact"/>
        <w:ind w:firstLine="420" w:firstLineChars="200"/>
        <w:rPr>
          <w:color w:val="auto"/>
          <w:highlight w:val="none"/>
        </w:rPr>
      </w:pPr>
      <w:r>
        <w:rPr>
          <w:rFonts w:hint="eastAsia"/>
          <w:color w:val="auto"/>
          <w:highlight w:val="none"/>
        </w:rPr>
        <w:t>采购人将按照竞争性谈判响应须知前附表规定的时间和地点公开唱标，参加唱标的响应人代表应当签名报到，以证明其出席唱标。</w:t>
      </w:r>
    </w:p>
    <w:p w14:paraId="60B06BFA">
      <w:pPr>
        <w:spacing w:line="400" w:lineRule="exact"/>
        <w:rPr>
          <w:rFonts w:ascii="宋体" w:hAnsi="宋体"/>
          <w:b/>
          <w:color w:val="auto"/>
          <w:sz w:val="32"/>
          <w:szCs w:val="32"/>
          <w:highlight w:val="none"/>
        </w:rPr>
      </w:pPr>
      <w:bookmarkStart w:id="66" w:name="_Toc456551909"/>
      <w:bookmarkStart w:id="67" w:name="_Toc475552152"/>
      <w:r>
        <w:rPr>
          <w:rFonts w:hint="eastAsia" w:ascii="宋体" w:hAnsi="宋体"/>
          <w:b/>
          <w:color w:val="auto"/>
          <w:sz w:val="32"/>
          <w:szCs w:val="32"/>
          <w:highlight w:val="none"/>
        </w:rPr>
        <w:t>5.2 唱标程序</w:t>
      </w:r>
      <w:bookmarkEnd w:id="66"/>
      <w:bookmarkEnd w:id="67"/>
    </w:p>
    <w:p w14:paraId="0EF0EB82">
      <w:pPr>
        <w:spacing w:line="400" w:lineRule="exact"/>
        <w:ind w:firstLine="359" w:firstLineChars="171"/>
        <w:rPr>
          <w:color w:val="auto"/>
          <w:highlight w:val="none"/>
        </w:rPr>
      </w:pPr>
      <w:r>
        <w:rPr>
          <w:rFonts w:hint="eastAsia"/>
          <w:color w:val="auto"/>
          <w:highlight w:val="none"/>
        </w:rPr>
        <w:t>5.2.1唱标会议由采购人或其委托的采购代理机构组织并主持，响应人代表对响应文件密封性进行检查。</w:t>
      </w:r>
    </w:p>
    <w:p w14:paraId="53DCB5E9">
      <w:pPr>
        <w:spacing w:line="400" w:lineRule="exact"/>
        <w:ind w:firstLine="359" w:firstLineChars="171"/>
        <w:rPr>
          <w:color w:val="auto"/>
          <w:highlight w:val="none"/>
        </w:rPr>
      </w:pPr>
      <w:r>
        <w:rPr>
          <w:rFonts w:hint="eastAsia"/>
          <w:color w:val="auto"/>
          <w:highlight w:val="none"/>
        </w:rPr>
        <w:t>5.2.2 采购人在递交响应文件截止时间前收到的所有响应文件在唱标时都应当当众予以拆封宣读。</w:t>
      </w:r>
    </w:p>
    <w:p w14:paraId="6708D01D">
      <w:pPr>
        <w:spacing w:line="400" w:lineRule="exact"/>
        <w:ind w:firstLine="359" w:firstLineChars="171"/>
        <w:rPr>
          <w:color w:val="auto"/>
          <w:highlight w:val="none"/>
        </w:rPr>
      </w:pPr>
      <w:r>
        <w:rPr>
          <w:rFonts w:hint="eastAsia"/>
          <w:color w:val="auto"/>
          <w:highlight w:val="none"/>
        </w:rPr>
        <w:t>5.2.3 唱标时，采购人应当当众宣布参加本次竞争性谈判的响应人个数及响应文件的密封情况，并宣读有效竞争性谈判的“报价一览表”中的内容，“报价一览表”一般包括：唱标时间和地点、响应人名称、价格等唱标内容、唱标过程监督记录、响应人提出的异议以及竞争性谈判文件中规定的其他内容。</w:t>
      </w:r>
    </w:p>
    <w:p w14:paraId="5F80182D">
      <w:pPr>
        <w:spacing w:line="400" w:lineRule="exact"/>
        <w:ind w:firstLine="359" w:firstLineChars="171"/>
        <w:rPr>
          <w:color w:val="auto"/>
          <w:highlight w:val="none"/>
        </w:rPr>
      </w:pPr>
      <w:r>
        <w:rPr>
          <w:rFonts w:hint="eastAsia"/>
          <w:color w:val="auto"/>
          <w:highlight w:val="none"/>
        </w:rPr>
        <w:t>5.2.4唱标内容填写在“唱标记录表”中，由唱标人、记录人、采购人代表、监督人、响应人代表签字确认，存档备查。</w:t>
      </w:r>
    </w:p>
    <w:p w14:paraId="3AEA2721">
      <w:pPr>
        <w:spacing w:line="400" w:lineRule="exact"/>
        <w:rPr>
          <w:rFonts w:ascii="宋体" w:hAnsi="宋体"/>
          <w:b/>
          <w:color w:val="auto"/>
          <w:sz w:val="32"/>
          <w:szCs w:val="32"/>
          <w:highlight w:val="none"/>
        </w:rPr>
      </w:pPr>
      <w:bookmarkStart w:id="68" w:name="_Toc475552153"/>
      <w:bookmarkStart w:id="69" w:name="_Toc456551910"/>
      <w:r>
        <w:rPr>
          <w:rFonts w:hint="eastAsia" w:ascii="宋体" w:hAnsi="宋体"/>
          <w:b/>
          <w:color w:val="auto"/>
          <w:sz w:val="32"/>
          <w:szCs w:val="32"/>
          <w:highlight w:val="none"/>
        </w:rPr>
        <w:t>5.3 唱标异议</w:t>
      </w:r>
      <w:bookmarkEnd w:id="68"/>
      <w:bookmarkEnd w:id="69"/>
    </w:p>
    <w:p w14:paraId="2BB5D817">
      <w:pPr>
        <w:spacing w:line="400" w:lineRule="exact"/>
        <w:ind w:firstLine="359" w:firstLineChars="171"/>
        <w:rPr>
          <w:color w:val="auto"/>
          <w:highlight w:val="none"/>
        </w:rPr>
      </w:pPr>
      <w:r>
        <w:rPr>
          <w:rFonts w:hint="eastAsia"/>
          <w:color w:val="auto"/>
          <w:highlight w:val="none"/>
        </w:rPr>
        <w:t>响应人对唱标有异议的，应当在唱标现场提出，采购人应当当场作出答复，并制作记录。</w:t>
      </w:r>
    </w:p>
    <w:p w14:paraId="29DA56DD">
      <w:pPr>
        <w:pStyle w:val="6"/>
        <w:rPr>
          <w:color w:val="auto"/>
          <w:highlight w:val="none"/>
        </w:rPr>
      </w:pPr>
      <w:bookmarkStart w:id="70" w:name="_Toc456551912"/>
      <w:bookmarkStart w:id="71" w:name="_Toc21401"/>
      <w:r>
        <w:rPr>
          <w:rFonts w:hint="eastAsia"/>
          <w:color w:val="auto"/>
          <w:highlight w:val="none"/>
        </w:rPr>
        <w:t xml:space="preserve">6. </w:t>
      </w:r>
      <w:bookmarkEnd w:id="70"/>
      <w:r>
        <w:rPr>
          <w:rFonts w:hint="eastAsia"/>
          <w:color w:val="auto"/>
          <w:highlight w:val="none"/>
        </w:rPr>
        <w:t>评审</w:t>
      </w:r>
      <w:bookmarkEnd w:id="71"/>
    </w:p>
    <w:p w14:paraId="4C1AD818">
      <w:pPr>
        <w:spacing w:line="400" w:lineRule="exact"/>
        <w:rPr>
          <w:rFonts w:ascii="宋体" w:hAnsi="宋体"/>
          <w:b/>
          <w:color w:val="auto"/>
          <w:sz w:val="32"/>
          <w:szCs w:val="32"/>
          <w:highlight w:val="none"/>
        </w:rPr>
      </w:pPr>
      <w:bookmarkStart w:id="72" w:name="_Toc475552155"/>
      <w:bookmarkStart w:id="73" w:name="_Toc456551913"/>
      <w:r>
        <w:rPr>
          <w:rFonts w:hint="eastAsia" w:ascii="宋体" w:hAnsi="宋体"/>
          <w:b/>
          <w:color w:val="auto"/>
          <w:sz w:val="32"/>
          <w:szCs w:val="32"/>
          <w:highlight w:val="none"/>
        </w:rPr>
        <w:t xml:space="preserve">6.1 </w:t>
      </w:r>
      <w:bookmarkEnd w:id="72"/>
      <w:bookmarkEnd w:id="73"/>
      <w:r>
        <w:rPr>
          <w:rFonts w:hint="eastAsia" w:ascii="宋体" w:hAnsi="宋体"/>
          <w:b/>
          <w:color w:val="auto"/>
          <w:sz w:val="32"/>
          <w:szCs w:val="32"/>
          <w:highlight w:val="none"/>
        </w:rPr>
        <w:t>谈判小组</w:t>
      </w:r>
    </w:p>
    <w:p w14:paraId="4354FE08">
      <w:pPr>
        <w:spacing w:line="400" w:lineRule="exact"/>
        <w:ind w:firstLine="420" w:firstLineChars="200"/>
        <w:rPr>
          <w:color w:val="auto"/>
          <w:szCs w:val="21"/>
          <w:highlight w:val="none"/>
        </w:rPr>
      </w:pPr>
      <w:r>
        <w:rPr>
          <w:rFonts w:hint="eastAsia"/>
          <w:color w:val="auto"/>
          <w:szCs w:val="21"/>
          <w:highlight w:val="none"/>
        </w:rPr>
        <w:t>6.1.1评审由依法组建的谈判小组负责，具体人数见竞争性谈判响应须知前附表。</w:t>
      </w:r>
    </w:p>
    <w:p w14:paraId="1F002156">
      <w:pPr>
        <w:spacing w:line="400" w:lineRule="exact"/>
        <w:ind w:firstLine="420" w:firstLineChars="200"/>
        <w:rPr>
          <w:color w:val="auto"/>
          <w:szCs w:val="21"/>
          <w:highlight w:val="none"/>
        </w:rPr>
      </w:pPr>
      <w:r>
        <w:rPr>
          <w:rFonts w:hint="eastAsia"/>
          <w:color w:val="auto"/>
          <w:szCs w:val="21"/>
          <w:highlight w:val="none"/>
        </w:rPr>
        <w:t>6.1.2评审期间，任何单位和个人不得非法干预或者影响评审的过程和结果。</w:t>
      </w:r>
    </w:p>
    <w:p w14:paraId="129A0AB9">
      <w:pPr>
        <w:spacing w:line="400" w:lineRule="exact"/>
        <w:ind w:firstLine="420" w:firstLineChars="200"/>
        <w:rPr>
          <w:color w:val="auto"/>
          <w:szCs w:val="21"/>
          <w:highlight w:val="none"/>
        </w:rPr>
      </w:pPr>
      <w:r>
        <w:rPr>
          <w:rFonts w:hint="eastAsia"/>
          <w:color w:val="auto"/>
          <w:szCs w:val="21"/>
          <w:highlight w:val="none"/>
        </w:rPr>
        <w:t>6.1.3谈判小组成员名单在成交结果确定前保密。</w:t>
      </w:r>
    </w:p>
    <w:p w14:paraId="7AC33D4B">
      <w:pPr>
        <w:spacing w:line="400" w:lineRule="exact"/>
        <w:rPr>
          <w:rFonts w:ascii="宋体" w:hAnsi="宋体"/>
          <w:b/>
          <w:color w:val="auto"/>
          <w:sz w:val="32"/>
          <w:szCs w:val="32"/>
          <w:highlight w:val="none"/>
        </w:rPr>
      </w:pPr>
      <w:bookmarkStart w:id="74" w:name="_Toc456551914"/>
      <w:bookmarkStart w:id="75" w:name="_Toc475552156"/>
      <w:r>
        <w:rPr>
          <w:rFonts w:hint="eastAsia" w:ascii="宋体" w:hAnsi="宋体"/>
          <w:b/>
          <w:color w:val="auto"/>
          <w:sz w:val="32"/>
          <w:szCs w:val="32"/>
          <w:highlight w:val="none"/>
        </w:rPr>
        <w:t>6.2 评审原则</w:t>
      </w:r>
      <w:bookmarkEnd w:id="74"/>
      <w:bookmarkEnd w:id="75"/>
    </w:p>
    <w:p w14:paraId="4B258C16">
      <w:pPr>
        <w:spacing w:line="400" w:lineRule="exact"/>
        <w:ind w:firstLine="420" w:firstLineChars="200"/>
        <w:rPr>
          <w:color w:val="auto"/>
          <w:highlight w:val="none"/>
        </w:rPr>
      </w:pPr>
      <w:r>
        <w:rPr>
          <w:rFonts w:hint="eastAsia"/>
          <w:color w:val="auto"/>
          <w:highlight w:val="none"/>
        </w:rPr>
        <w:t>6.2.1评审活动遵循公平、公正、科学和择优的原则。</w:t>
      </w:r>
    </w:p>
    <w:p w14:paraId="7F1A9B9A">
      <w:pPr>
        <w:spacing w:line="400" w:lineRule="exact"/>
        <w:ind w:firstLine="420" w:firstLineChars="200"/>
        <w:rPr>
          <w:color w:val="auto"/>
          <w:highlight w:val="none"/>
        </w:rPr>
      </w:pPr>
      <w:r>
        <w:rPr>
          <w:rFonts w:hint="eastAsia"/>
          <w:color w:val="auto"/>
          <w:highlight w:val="none"/>
        </w:rPr>
        <w:t>6.2.2谈判小组按照第三章“评审办法”规定的方法、评审因素、标准和程序对响应文件进行评审。第三章“评审办法”没有规定的方法、评审因素和标准，不作为评审依据。</w:t>
      </w:r>
    </w:p>
    <w:p w14:paraId="0B3823E9">
      <w:pPr>
        <w:spacing w:line="400" w:lineRule="exact"/>
        <w:rPr>
          <w:rFonts w:ascii="宋体" w:hAnsi="宋体"/>
          <w:b/>
          <w:color w:val="auto"/>
          <w:sz w:val="32"/>
          <w:szCs w:val="32"/>
          <w:highlight w:val="none"/>
        </w:rPr>
      </w:pPr>
      <w:bookmarkStart w:id="76" w:name="_Toc475552157"/>
      <w:bookmarkStart w:id="77" w:name="_Toc456551915"/>
      <w:r>
        <w:rPr>
          <w:rFonts w:hint="eastAsia" w:ascii="宋体" w:hAnsi="宋体"/>
          <w:b/>
          <w:color w:val="auto"/>
          <w:sz w:val="32"/>
          <w:szCs w:val="32"/>
          <w:highlight w:val="none"/>
        </w:rPr>
        <w:t>6.3 评审方法</w:t>
      </w:r>
      <w:bookmarkEnd w:id="76"/>
      <w:bookmarkEnd w:id="77"/>
    </w:p>
    <w:p w14:paraId="60A369C3">
      <w:pPr>
        <w:spacing w:line="400" w:lineRule="exact"/>
        <w:ind w:firstLine="420" w:firstLineChars="200"/>
        <w:rPr>
          <w:color w:val="auto"/>
          <w:szCs w:val="21"/>
          <w:highlight w:val="none"/>
        </w:rPr>
      </w:pPr>
      <w:r>
        <w:rPr>
          <w:rFonts w:hint="eastAsia"/>
          <w:color w:val="auto"/>
          <w:szCs w:val="21"/>
          <w:highlight w:val="none"/>
        </w:rPr>
        <w:t>6.3.1 竞争性谈判文件中详细载明评审方法作为本次评审所采用的评审方法。评审方法见竞争性谈判响应须知前附表。</w:t>
      </w:r>
    </w:p>
    <w:p w14:paraId="4CAE4056">
      <w:pPr>
        <w:spacing w:line="400" w:lineRule="exact"/>
        <w:ind w:firstLine="420" w:firstLineChars="200"/>
        <w:rPr>
          <w:color w:val="auto"/>
          <w:szCs w:val="21"/>
          <w:highlight w:val="none"/>
        </w:rPr>
      </w:pPr>
      <w:r>
        <w:rPr>
          <w:rFonts w:hint="eastAsia"/>
          <w:color w:val="auto"/>
          <w:szCs w:val="21"/>
          <w:highlight w:val="none"/>
        </w:rPr>
        <w:t>6.3.2 法律、法规允许的其他评审方法。</w:t>
      </w:r>
    </w:p>
    <w:p w14:paraId="357F04ED">
      <w:pPr>
        <w:spacing w:line="400" w:lineRule="exact"/>
        <w:rPr>
          <w:rFonts w:ascii="宋体" w:hAnsi="宋体"/>
          <w:b/>
          <w:color w:val="auto"/>
          <w:sz w:val="32"/>
          <w:szCs w:val="32"/>
          <w:highlight w:val="none"/>
        </w:rPr>
      </w:pPr>
      <w:bookmarkStart w:id="78" w:name="_Toc475552158"/>
      <w:bookmarkStart w:id="79" w:name="_Toc456551916"/>
      <w:r>
        <w:rPr>
          <w:rFonts w:hint="eastAsia" w:ascii="宋体" w:hAnsi="宋体"/>
          <w:b/>
          <w:color w:val="auto"/>
          <w:sz w:val="32"/>
          <w:szCs w:val="32"/>
          <w:highlight w:val="none"/>
        </w:rPr>
        <w:t>6.4 推荐成交候选人原则</w:t>
      </w:r>
      <w:bookmarkEnd w:id="78"/>
      <w:bookmarkEnd w:id="79"/>
    </w:p>
    <w:p w14:paraId="72F52781">
      <w:pPr>
        <w:spacing w:line="400" w:lineRule="exact"/>
        <w:ind w:firstLine="420" w:firstLineChars="200"/>
        <w:rPr>
          <w:color w:val="auto"/>
          <w:szCs w:val="21"/>
          <w:highlight w:val="none"/>
        </w:rPr>
      </w:pPr>
      <w:r>
        <w:rPr>
          <w:rFonts w:hint="eastAsia"/>
          <w:color w:val="auto"/>
          <w:szCs w:val="21"/>
          <w:highlight w:val="none"/>
        </w:rPr>
        <w:t>谈判小组应当根据竞争性谈判文件的规定推荐成交候选人，具体推荐原则见竞争性谈判响应须知前附表。</w:t>
      </w:r>
    </w:p>
    <w:p w14:paraId="26EEBD48">
      <w:pPr>
        <w:spacing w:line="400" w:lineRule="exact"/>
        <w:rPr>
          <w:rFonts w:ascii="宋体" w:hAnsi="宋体"/>
          <w:b/>
          <w:color w:val="auto"/>
          <w:sz w:val="32"/>
          <w:szCs w:val="32"/>
          <w:highlight w:val="none"/>
        </w:rPr>
      </w:pPr>
      <w:bookmarkStart w:id="80" w:name="_Toc475552159"/>
      <w:bookmarkStart w:id="81" w:name="_Toc456551917"/>
      <w:r>
        <w:rPr>
          <w:rFonts w:hint="eastAsia" w:ascii="宋体" w:hAnsi="宋体"/>
          <w:b/>
          <w:color w:val="auto"/>
          <w:sz w:val="32"/>
          <w:szCs w:val="32"/>
          <w:highlight w:val="none"/>
        </w:rPr>
        <w:t>6.5 评审报告</w:t>
      </w:r>
      <w:bookmarkEnd w:id="80"/>
      <w:bookmarkEnd w:id="81"/>
    </w:p>
    <w:p w14:paraId="26ECD504">
      <w:pPr>
        <w:ind w:firstLine="420" w:firstLineChars="200"/>
        <w:rPr>
          <w:color w:val="auto"/>
          <w:highlight w:val="none"/>
        </w:rPr>
      </w:pPr>
      <w:r>
        <w:rPr>
          <w:rFonts w:hint="eastAsia"/>
          <w:bCs/>
          <w:color w:val="auto"/>
          <w:highlight w:val="none"/>
        </w:rPr>
        <w:t>评审完成后，谈判小组应当及时向采购人提交评审报告和成交候选人名单。</w:t>
      </w:r>
    </w:p>
    <w:p w14:paraId="3167F40F">
      <w:pPr>
        <w:pStyle w:val="6"/>
        <w:rPr>
          <w:color w:val="auto"/>
          <w:highlight w:val="none"/>
        </w:rPr>
      </w:pPr>
      <w:bookmarkStart w:id="82" w:name="_Toc456551918"/>
      <w:bookmarkStart w:id="83" w:name="_Toc21914"/>
      <w:r>
        <w:rPr>
          <w:rFonts w:hint="eastAsia"/>
          <w:color w:val="auto"/>
          <w:highlight w:val="none"/>
        </w:rPr>
        <w:t xml:space="preserve">7. </w:t>
      </w:r>
      <w:bookmarkEnd w:id="82"/>
      <w:r>
        <w:rPr>
          <w:rFonts w:hint="eastAsia"/>
          <w:color w:val="auto"/>
          <w:highlight w:val="none"/>
        </w:rPr>
        <w:t>成交</w:t>
      </w:r>
      <w:bookmarkEnd w:id="83"/>
    </w:p>
    <w:p w14:paraId="69B69533">
      <w:pPr>
        <w:spacing w:line="400" w:lineRule="exact"/>
        <w:rPr>
          <w:rFonts w:ascii="宋体" w:hAnsi="宋体"/>
          <w:b/>
          <w:color w:val="auto"/>
          <w:sz w:val="32"/>
          <w:szCs w:val="32"/>
          <w:highlight w:val="none"/>
        </w:rPr>
      </w:pPr>
      <w:bookmarkStart w:id="84" w:name="_Toc456551919"/>
      <w:bookmarkStart w:id="85" w:name="_Toc475552161"/>
      <w:r>
        <w:rPr>
          <w:rFonts w:hint="eastAsia" w:ascii="宋体" w:hAnsi="宋体"/>
          <w:b/>
          <w:color w:val="auto"/>
          <w:sz w:val="32"/>
          <w:szCs w:val="32"/>
          <w:highlight w:val="none"/>
        </w:rPr>
        <w:t>7.1 成交候选人公示</w:t>
      </w:r>
      <w:bookmarkEnd w:id="84"/>
      <w:bookmarkEnd w:id="85"/>
    </w:p>
    <w:p w14:paraId="67F6D91B">
      <w:pPr>
        <w:spacing w:line="400" w:lineRule="exact"/>
        <w:ind w:firstLine="420" w:firstLineChars="200"/>
        <w:rPr>
          <w:color w:val="auto"/>
          <w:szCs w:val="21"/>
          <w:highlight w:val="none"/>
        </w:rPr>
      </w:pPr>
      <w:bookmarkStart w:id="86" w:name="_Toc456551920"/>
      <w:bookmarkStart w:id="87" w:name="_Toc475552162"/>
      <w:r>
        <w:rPr>
          <w:color w:val="auto"/>
          <w:szCs w:val="21"/>
          <w:highlight w:val="none"/>
        </w:rPr>
        <w:t>7.1.1</w:t>
      </w:r>
      <w:r>
        <w:rPr>
          <w:rFonts w:hint="eastAsia"/>
          <w:color w:val="auto"/>
          <w:szCs w:val="21"/>
          <w:highlight w:val="none"/>
        </w:rPr>
        <w:t>进行公开竞争性谈判的项目，评审结果按照采购人内控管理规定确认后，在成交候选人公示发布的媒介公示全部成交候选人，公示期不得少于</w:t>
      </w:r>
      <w:r>
        <w:rPr>
          <w:color w:val="auto"/>
          <w:szCs w:val="21"/>
          <w:highlight w:val="none"/>
        </w:rPr>
        <w:t>3</w:t>
      </w:r>
      <w:r>
        <w:rPr>
          <w:rFonts w:hint="eastAsia"/>
          <w:color w:val="auto"/>
          <w:szCs w:val="21"/>
          <w:highlight w:val="none"/>
        </w:rPr>
        <w:t>日。</w:t>
      </w:r>
    </w:p>
    <w:p w14:paraId="08ADC101">
      <w:pPr>
        <w:spacing w:line="400" w:lineRule="exact"/>
        <w:ind w:firstLine="420" w:firstLineChars="200"/>
        <w:rPr>
          <w:color w:val="auto"/>
          <w:szCs w:val="21"/>
          <w:highlight w:val="none"/>
        </w:rPr>
      </w:pPr>
      <w:r>
        <w:rPr>
          <w:color w:val="auto"/>
          <w:szCs w:val="21"/>
          <w:highlight w:val="none"/>
        </w:rPr>
        <w:t>7.1.2</w:t>
      </w:r>
      <w:r>
        <w:rPr>
          <w:rFonts w:hint="eastAsia"/>
          <w:color w:val="auto"/>
          <w:szCs w:val="21"/>
          <w:highlight w:val="none"/>
        </w:rPr>
        <w:t>响应人或者其他利害关系人对项目的评审结果有异议的，应在成交候选人公示期间提出。</w:t>
      </w:r>
    </w:p>
    <w:p w14:paraId="50BC1055">
      <w:pPr>
        <w:spacing w:line="400" w:lineRule="exact"/>
        <w:rPr>
          <w:rFonts w:ascii="宋体" w:hAnsi="宋体"/>
          <w:b/>
          <w:color w:val="auto"/>
          <w:sz w:val="32"/>
          <w:szCs w:val="32"/>
          <w:highlight w:val="none"/>
        </w:rPr>
      </w:pPr>
      <w:r>
        <w:rPr>
          <w:rFonts w:hint="eastAsia" w:ascii="宋体" w:hAnsi="宋体"/>
          <w:b/>
          <w:color w:val="auto"/>
          <w:sz w:val="32"/>
          <w:szCs w:val="32"/>
          <w:highlight w:val="none"/>
        </w:rPr>
        <w:t>7.2资格后审（履约能力审查）</w:t>
      </w:r>
    </w:p>
    <w:p w14:paraId="615F7572">
      <w:pPr>
        <w:spacing w:line="400" w:lineRule="exact"/>
        <w:ind w:firstLine="420" w:firstLineChars="200"/>
        <w:rPr>
          <w:color w:val="auto"/>
          <w:szCs w:val="21"/>
          <w:highlight w:val="none"/>
        </w:rPr>
      </w:pPr>
      <w:r>
        <w:rPr>
          <w:color w:val="auto"/>
          <w:szCs w:val="21"/>
          <w:highlight w:val="none"/>
        </w:rPr>
        <w:t>7.2</w:t>
      </w:r>
      <w:r>
        <w:rPr>
          <w:rFonts w:hint="eastAsia"/>
          <w:color w:val="auto"/>
          <w:szCs w:val="21"/>
          <w:highlight w:val="none"/>
        </w:rPr>
        <w:t>.1采购人</w:t>
      </w:r>
      <w:r>
        <w:rPr>
          <w:rFonts w:hint="eastAsia"/>
          <w:color w:val="auto"/>
          <w:szCs w:val="21"/>
          <w:highlight w:val="none"/>
          <w:lang w:val="en-US" w:eastAsia="zh-CN"/>
        </w:rPr>
        <w:t>有权</w:t>
      </w:r>
      <w:r>
        <w:rPr>
          <w:rFonts w:hint="eastAsia"/>
          <w:color w:val="auto"/>
          <w:szCs w:val="21"/>
          <w:highlight w:val="none"/>
        </w:rPr>
        <w:t>根据竞争性谈判文件中的要求，对评委会推荐的成交候选人进行资格后审。</w:t>
      </w:r>
    </w:p>
    <w:p w14:paraId="1DA68AE3">
      <w:pPr>
        <w:spacing w:line="400" w:lineRule="exact"/>
        <w:ind w:firstLine="420" w:firstLineChars="200"/>
        <w:rPr>
          <w:color w:val="auto"/>
          <w:szCs w:val="21"/>
          <w:highlight w:val="none"/>
        </w:rPr>
      </w:pPr>
      <w:r>
        <w:rPr>
          <w:color w:val="auto"/>
          <w:szCs w:val="21"/>
          <w:highlight w:val="none"/>
        </w:rPr>
        <w:t>7.2</w:t>
      </w:r>
      <w:r>
        <w:rPr>
          <w:rFonts w:hint="eastAsia"/>
          <w:color w:val="auto"/>
          <w:szCs w:val="21"/>
          <w:highlight w:val="none"/>
        </w:rPr>
        <w:t>.2成交候选人须无条件配合资格后审，否则采购人有权取消中标资格，且谈判保证金可不予退还。</w:t>
      </w:r>
    </w:p>
    <w:p w14:paraId="7C1033DB">
      <w:pPr>
        <w:spacing w:line="400" w:lineRule="exact"/>
        <w:ind w:firstLine="420" w:firstLineChars="200"/>
        <w:rPr>
          <w:color w:val="auto"/>
          <w:szCs w:val="21"/>
          <w:highlight w:val="none"/>
        </w:rPr>
      </w:pPr>
      <w:r>
        <w:rPr>
          <w:color w:val="auto"/>
          <w:szCs w:val="21"/>
          <w:highlight w:val="none"/>
        </w:rPr>
        <w:t>7.2</w:t>
      </w:r>
      <w:r>
        <w:rPr>
          <w:rFonts w:hint="eastAsia"/>
          <w:color w:val="auto"/>
          <w:szCs w:val="21"/>
          <w:highlight w:val="none"/>
        </w:rPr>
        <w:t>.3资格后审须提供包括但不限于营业执照、税务登记证和在响应文件中提供的资质证明文件、合同等重要证明文件的原件进行核对，综合考察成交人的履约能力。如采购人要求还须提供业绩证明的其他材料,成交候选人须配合提供。如授权其分支机构进行项目实施或提供售后服务的，亦应提供其与分支机构关系的法律证明材料。</w:t>
      </w:r>
    </w:p>
    <w:p w14:paraId="4683FC25">
      <w:pPr>
        <w:spacing w:line="400" w:lineRule="exact"/>
        <w:ind w:firstLine="420" w:firstLineChars="200"/>
        <w:rPr>
          <w:color w:val="auto"/>
          <w:szCs w:val="21"/>
          <w:highlight w:val="none"/>
        </w:rPr>
      </w:pPr>
      <w:r>
        <w:rPr>
          <w:color w:val="auto"/>
          <w:szCs w:val="21"/>
          <w:highlight w:val="none"/>
        </w:rPr>
        <w:t>7.2</w:t>
      </w:r>
      <w:r>
        <w:rPr>
          <w:rFonts w:hint="eastAsia"/>
          <w:color w:val="auto"/>
          <w:szCs w:val="21"/>
          <w:highlight w:val="none"/>
        </w:rPr>
        <w:t>.4如发现响应人以他人名义谈判或者以其他方式弄虚作假，骗取成交的，采购人有权取消其成交资格，且谈判保证金可不予退还；给采购人造成损失的，应依法承担赔偿责任。</w:t>
      </w:r>
    </w:p>
    <w:p w14:paraId="0388B349">
      <w:pPr>
        <w:spacing w:line="400" w:lineRule="exact"/>
        <w:ind w:firstLine="420" w:firstLineChars="200"/>
        <w:rPr>
          <w:color w:val="auto"/>
          <w:szCs w:val="21"/>
          <w:highlight w:val="none"/>
        </w:rPr>
      </w:pPr>
      <w:r>
        <w:rPr>
          <w:color w:val="auto"/>
          <w:szCs w:val="21"/>
          <w:highlight w:val="none"/>
        </w:rPr>
        <w:t>7.2</w:t>
      </w:r>
      <w:r>
        <w:rPr>
          <w:rFonts w:hint="eastAsia"/>
          <w:color w:val="auto"/>
          <w:szCs w:val="21"/>
          <w:highlight w:val="none"/>
        </w:rPr>
        <w:t>.5如果审查通过，采购人将把合同授予该成交人；如果审查没有通过，采购人有权取消其成交资格，且谈判保证金可不予退还，并依次审查下一名成交候选人是否具备履行合同的能力或重新采购。</w:t>
      </w:r>
    </w:p>
    <w:p w14:paraId="1CC528C1">
      <w:pPr>
        <w:spacing w:line="400" w:lineRule="exact"/>
        <w:rPr>
          <w:rFonts w:ascii="宋体" w:hAnsi="宋体"/>
          <w:b/>
          <w:color w:val="auto"/>
          <w:sz w:val="32"/>
          <w:szCs w:val="32"/>
          <w:highlight w:val="none"/>
        </w:rPr>
      </w:pPr>
      <w:r>
        <w:rPr>
          <w:rFonts w:hint="eastAsia" w:ascii="宋体" w:hAnsi="宋体"/>
          <w:b/>
          <w:color w:val="auto"/>
          <w:sz w:val="32"/>
          <w:szCs w:val="32"/>
          <w:highlight w:val="none"/>
        </w:rPr>
        <w:t>7.3确定成交人</w:t>
      </w:r>
      <w:bookmarkEnd w:id="86"/>
      <w:bookmarkEnd w:id="87"/>
    </w:p>
    <w:p w14:paraId="7A411E6E">
      <w:pPr>
        <w:spacing w:line="400" w:lineRule="exact"/>
        <w:ind w:firstLine="420" w:firstLineChars="200"/>
        <w:rPr>
          <w:color w:val="auto"/>
          <w:szCs w:val="21"/>
          <w:highlight w:val="none"/>
        </w:rPr>
      </w:pPr>
      <w:r>
        <w:rPr>
          <w:rFonts w:hint="eastAsia"/>
          <w:color w:val="auto"/>
          <w:szCs w:val="21"/>
          <w:highlight w:val="none"/>
        </w:rPr>
        <w:t>7.3.1除竞争性谈判响应须知前附表规定谈判小组直接确定成交人外，采购人依据谈判小组推荐的成交候选人确定成交人，成交人数量见竞争性谈判响应须知前附表。</w:t>
      </w:r>
    </w:p>
    <w:p w14:paraId="77917298">
      <w:pPr>
        <w:spacing w:line="400" w:lineRule="exact"/>
        <w:ind w:firstLine="420" w:firstLineChars="200"/>
        <w:rPr>
          <w:color w:val="auto"/>
          <w:szCs w:val="21"/>
          <w:highlight w:val="none"/>
        </w:rPr>
      </w:pPr>
      <w:r>
        <w:rPr>
          <w:rFonts w:hint="eastAsia"/>
          <w:color w:val="auto"/>
          <w:szCs w:val="21"/>
          <w:highlight w:val="none"/>
        </w:rPr>
        <w:t>7.3.2</w:t>
      </w:r>
      <w:r>
        <w:rPr>
          <w:color w:val="auto"/>
          <w:szCs w:val="21"/>
          <w:highlight w:val="none"/>
        </w:rPr>
        <w:t>采购人</w:t>
      </w:r>
      <w:r>
        <w:rPr>
          <w:rFonts w:hint="eastAsia"/>
          <w:color w:val="auto"/>
          <w:szCs w:val="21"/>
          <w:highlight w:val="none"/>
        </w:rPr>
        <w:t>根据谈判小组推荐的</w:t>
      </w:r>
      <w:r>
        <w:rPr>
          <w:color w:val="auto"/>
          <w:szCs w:val="21"/>
          <w:highlight w:val="none"/>
        </w:rPr>
        <w:t>成交候选人</w:t>
      </w:r>
      <w:r>
        <w:rPr>
          <w:rFonts w:hint="eastAsia"/>
          <w:color w:val="auto"/>
          <w:szCs w:val="21"/>
          <w:highlight w:val="none"/>
        </w:rPr>
        <w:t>名单排序</w:t>
      </w:r>
      <w:r>
        <w:rPr>
          <w:color w:val="auto"/>
          <w:szCs w:val="21"/>
          <w:highlight w:val="none"/>
        </w:rPr>
        <w:t>依次确定成交人，</w:t>
      </w:r>
      <w:r>
        <w:rPr>
          <w:rFonts w:hint="eastAsia"/>
          <w:color w:val="auto"/>
          <w:szCs w:val="21"/>
          <w:highlight w:val="none"/>
        </w:rPr>
        <w:t>具体成交原则见竞争性谈判响应须知前附表。</w:t>
      </w:r>
    </w:p>
    <w:p w14:paraId="18CFFF00">
      <w:pPr>
        <w:spacing w:line="400" w:lineRule="exact"/>
        <w:ind w:firstLine="420" w:firstLineChars="200"/>
        <w:rPr>
          <w:color w:val="auto"/>
          <w:szCs w:val="21"/>
          <w:highlight w:val="none"/>
        </w:rPr>
      </w:pPr>
      <w:r>
        <w:rPr>
          <w:rFonts w:hint="eastAsia"/>
          <w:color w:val="auto"/>
          <w:szCs w:val="21"/>
          <w:highlight w:val="none"/>
        </w:rPr>
        <w:t>7.3.3在签订合同之前，</w:t>
      </w:r>
      <w:r>
        <w:rPr>
          <w:color w:val="auto"/>
          <w:szCs w:val="21"/>
          <w:highlight w:val="none"/>
        </w:rPr>
        <w:t>成交人</w:t>
      </w:r>
      <w:r>
        <w:rPr>
          <w:rFonts w:hint="eastAsia"/>
          <w:color w:val="auto"/>
          <w:szCs w:val="21"/>
          <w:highlight w:val="none"/>
        </w:rPr>
        <w:t>放弃成交或者</w:t>
      </w:r>
      <w:r>
        <w:rPr>
          <w:color w:val="auto"/>
          <w:szCs w:val="21"/>
          <w:highlight w:val="none"/>
        </w:rPr>
        <w:t>不能履行合同的，采购人可以按照谈判小组提出的成交候选人名单排序依次确定其他成交候选人为成交人，也可以</w:t>
      </w:r>
      <w:r>
        <w:rPr>
          <w:rFonts w:hint="eastAsia"/>
          <w:color w:val="auto"/>
          <w:szCs w:val="21"/>
          <w:highlight w:val="none"/>
        </w:rPr>
        <w:t>重新竞争性谈判。</w:t>
      </w:r>
    </w:p>
    <w:p w14:paraId="4DDB826A">
      <w:pPr>
        <w:spacing w:line="400" w:lineRule="exact"/>
        <w:rPr>
          <w:rFonts w:ascii="宋体" w:hAnsi="宋体"/>
          <w:b/>
          <w:color w:val="auto"/>
          <w:sz w:val="32"/>
          <w:szCs w:val="32"/>
          <w:highlight w:val="none"/>
        </w:rPr>
      </w:pPr>
      <w:bookmarkStart w:id="88" w:name="_Toc456551921"/>
      <w:bookmarkStart w:id="89" w:name="_Toc475552163"/>
      <w:r>
        <w:rPr>
          <w:rFonts w:hint="eastAsia" w:ascii="宋体" w:hAnsi="宋体"/>
          <w:b/>
          <w:color w:val="auto"/>
          <w:sz w:val="32"/>
          <w:szCs w:val="32"/>
          <w:highlight w:val="none"/>
        </w:rPr>
        <w:t>7.4 成交通知</w:t>
      </w:r>
      <w:bookmarkEnd w:id="88"/>
      <w:bookmarkEnd w:id="89"/>
    </w:p>
    <w:p w14:paraId="053C293A">
      <w:pPr>
        <w:spacing w:line="400" w:lineRule="exact"/>
        <w:ind w:firstLine="420" w:firstLineChars="200"/>
        <w:rPr>
          <w:color w:val="auto"/>
          <w:szCs w:val="21"/>
          <w:highlight w:val="none"/>
        </w:rPr>
      </w:pPr>
      <w:r>
        <w:rPr>
          <w:rFonts w:hint="eastAsia"/>
          <w:color w:val="auto"/>
          <w:szCs w:val="21"/>
          <w:highlight w:val="none"/>
        </w:rPr>
        <w:t>7.4.1</w:t>
      </w:r>
      <w:r>
        <w:rPr>
          <w:color w:val="auto"/>
          <w:szCs w:val="21"/>
          <w:highlight w:val="none"/>
        </w:rPr>
        <w:t>在成交通知书发出前</w:t>
      </w:r>
      <w:r>
        <w:rPr>
          <w:rFonts w:hint="eastAsia"/>
          <w:color w:val="auto"/>
          <w:szCs w:val="21"/>
          <w:highlight w:val="none"/>
        </w:rPr>
        <w:t>，</w:t>
      </w:r>
      <w:r>
        <w:rPr>
          <w:color w:val="auto"/>
          <w:szCs w:val="21"/>
          <w:highlight w:val="none"/>
        </w:rPr>
        <w:t>成交候选人的经营、财务状况发生较大变化或者存在违法行为，可能影响其履约能力的，成交候选人应</w:t>
      </w:r>
      <w:r>
        <w:rPr>
          <w:rFonts w:hint="eastAsia"/>
          <w:color w:val="auto"/>
          <w:szCs w:val="21"/>
          <w:highlight w:val="none"/>
        </w:rPr>
        <w:t>当主动告知采购人</w:t>
      </w:r>
      <w:r>
        <w:rPr>
          <w:color w:val="auto"/>
          <w:szCs w:val="21"/>
          <w:highlight w:val="none"/>
        </w:rPr>
        <w:t>。</w:t>
      </w:r>
    </w:p>
    <w:p w14:paraId="57566269">
      <w:pPr>
        <w:spacing w:line="400" w:lineRule="exact"/>
        <w:ind w:firstLine="420" w:firstLineChars="200"/>
        <w:rPr>
          <w:color w:val="auto"/>
          <w:szCs w:val="21"/>
          <w:highlight w:val="none"/>
        </w:rPr>
      </w:pPr>
      <w:r>
        <w:rPr>
          <w:rFonts w:hint="eastAsia"/>
          <w:color w:val="auto"/>
          <w:szCs w:val="21"/>
          <w:highlight w:val="none"/>
        </w:rPr>
        <w:t>7.4.2成交人确定后，采购人应当自行或委托采购代理机构向成交人发出成交通知书，同时通知未成交人。</w:t>
      </w:r>
    </w:p>
    <w:p w14:paraId="7274B2EC">
      <w:pPr>
        <w:spacing w:line="400" w:lineRule="exact"/>
        <w:ind w:firstLine="420" w:firstLineChars="200"/>
        <w:rPr>
          <w:color w:val="auto"/>
          <w:szCs w:val="21"/>
          <w:highlight w:val="none"/>
        </w:rPr>
      </w:pPr>
      <w:r>
        <w:rPr>
          <w:rFonts w:hint="eastAsia"/>
          <w:color w:val="auto"/>
          <w:szCs w:val="21"/>
          <w:highlight w:val="none"/>
        </w:rPr>
        <w:t>7.4.3成交通知书是竞争性谈判档案和合同的组成部分。</w:t>
      </w:r>
    </w:p>
    <w:p w14:paraId="69DE8CAE">
      <w:pPr>
        <w:spacing w:line="400" w:lineRule="exact"/>
        <w:ind w:firstLine="420" w:firstLineChars="200"/>
        <w:rPr>
          <w:color w:val="auto"/>
          <w:szCs w:val="21"/>
          <w:highlight w:val="none"/>
        </w:rPr>
      </w:pPr>
      <w:r>
        <w:rPr>
          <w:rFonts w:hint="eastAsia"/>
          <w:color w:val="auto"/>
          <w:szCs w:val="21"/>
          <w:highlight w:val="none"/>
        </w:rPr>
        <w:t>7.4.4成交通知书对采购人和成交人具有法律约束力。成交通知书发出后，采购人改变成交结果或者成交人放弃成交的，应当承担法律责任。</w:t>
      </w:r>
    </w:p>
    <w:p w14:paraId="61121BA1">
      <w:pPr>
        <w:pStyle w:val="6"/>
        <w:rPr>
          <w:color w:val="auto"/>
          <w:highlight w:val="none"/>
        </w:rPr>
      </w:pPr>
      <w:bookmarkStart w:id="90" w:name="_Toc20220"/>
      <w:bookmarkStart w:id="91" w:name="_Toc456551922"/>
      <w:r>
        <w:rPr>
          <w:rFonts w:hint="eastAsia"/>
          <w:color w:val="auto"/>
          <w:highlight w:val="none"/>
        </w:rPr>
        <w:t>8.合同签订</w:t>
      </w:r>
      <w:bookmarkEnd w:id="90"/>
      <w:bookmarkEnd w:id="91"/>
    </w:p>
    <w:p w14:paraId="60FF0824">
      <w:pPr>
        <w:spacing w:line="400" w:lineRule="exact"/>
        <w:rPr>
          <w:rFonts w:ascii="宋体" w:hAnsi="宋体"/>
          <w:b/>
          <w:color w:val="auto"/>
          <w:sz w:val="32"/>
          <w:szCs w:val="32"/>
          <w:highlight w:val="none"/>
        </w:rPr>
      </w:pPr>
      <w:bookmarkStart w:id="92" w:name="_Toc456551923"/>
      <w:bookmarkStart w:id="93" w:name="_Toc475552165"/>
      <w:r>
        <w:rPr>
          <w:rFonts w:hint="eastAsia" w:ascii="宋体" w:hAnsi="宋体"/>
          <w:b/>
          <w:color w:val="auto"/>
          <w:sz w:val="32"/>
          <w:szCs w:val="32"/>
          <w:highlight w:val="none"/>
        </w:rPr>
        <w:t>8.1 履约担保</w:t>
      </w:r>
      <w:bookmarkEnd w:id="92"/>
      <w:bookmarkEnd w:id="93"/>
    </w:p>
    <w:p w14:paraId="47DD5A9E">
      <w:pPr>
        <w:spacing w:line="400" w:lineRule="exact"/>
        <w:ind w:firstLine="420" w:firstLineChars="200"/>
        <w:rPr>
          <w:color w:val="auto"/>
          <w:szCs w:val="21"/>
          <w:highlight w:val="none"/>
        </w:rPr>
      </w:pPr>
      <w:r>
        <w:rPr>
          <w:rFonts w:hint="eastAsia"/>
          <w:color w:val="auto"/>
          <w:szCs w:val="21"/>
          <w:highlight w:val="none"/>
        </w:rPr>
        <w:t>8.1.1在签订合同前，成交人应当按照“竞争性谈判响应须知前附表”中规定的履约担保金额和方式向采购人提交履约担保。</w:t>
      </w:r>
    </w:p>
    <w:p w14:paraId="3BD60583">
      <w:pPr>
        <w:spacing w:line="400" w:lineRule="exact"/>
        <w:ind w:firstLine="420" w:firstLineChars="200"/>
        <w:rPr>
          <w:color w:val="auto"/>
          <w:szCs w:val="21"/>
          <w:highlight w:val="none"/>
        </w:rPr>
      </w:pPr>
      <w:r>
        <w:rPr>
          <w:rFonts w:hint="eastAsia"/>
          <w:color w:val="auto"/>
          <w:szCs w:val="21"/>
          <w:highlight w:val="none"/>
        </w:rPr>
        <w:t>8.1.2 成交人不能按照竞争性谈判文件要求提交履约担保的，视为放弃成交，其竞争性谈判保证金不予退还，给采购人造成的损失超过竞争性谈判保证金数额的，成交人还应当对超过部分予以赔偿。</w:t>
      </w:r>
    </w:p>
    <w:p w14:paraId="2AF8DC79">
      <w:pPr>
        <w:spacing w:line="400" w:lineRule="exact"/>
        <w:rPr>
          <w:rFonts w:ascii="宋体" w:hAnsi="宋体"/>
          <w:b/>
          <w:color w:val="auto"/>
          <w:sz w:val="32"/>
          <w:szCs w:val="32"/>
          <w:highlight w:val="none"/>
        </w:rPr>
      </w:pPr>
      <w:bookmarkStart w:id="94" w:name="_Toc475552166"/>
      <w:bookmarkStart w:id="95" w:name="_Toc456551924"/>
      <w:r>
        <w:rPr>
          <w:rFonts w:hint="eastAsia" w:ascii="宋体" w:hAnsi="宋体"/>
          <w:b/>
          <w:color w:val="auto"/>
          <w:sz w:val="32"/>
          <w:szCs w:val="32"/>
          <w:highlight w:val="none"/>
        </w:rPr>
        <w:t>8.2合同签订</w:t>
      </w:r>
      <w:bookmarkEnd w:id="94"/>
      <w:bookmarkEnd w:id="95"/>
    </w:p>
    <w:p w14:paraId="40398570">
      <w:pPr>
        <w:spacing w:line="400" w:lineRule="exact"/>
        <w:ind w:firstLine="420" w:firstLineChars="200"/>
        <w:rPr>
          <w:color w:val="auto"/>
          <w:szCs w:val="21"/>
          <w:highlight w:val="none"/>
        </w:rPr>
      </w:pPr>
      <w:r>
        <w:rPr>
          <w:rFonts w:hint="eastAsia"/>
          <w:color w:val="auto"/>
          <w:szCs w:val="21"/>
          <w:highlight w:val="none"/>
        </w:rPr>
        <w:t>8.2.1采购人和成交人应当自成交通知书发出之日起30日内，根据竞争性谈判文件和成交人的响应文件订立书面合同。</w:t>
      </w:r>
      <w:r>
        <w:rPr>
          <w:color w:val="auto"/>
          <w:szCs w:val="21"/>
          <w:highlight w:val="none"/>
        </w:rPr>
        <w:t>采购人和成交人不得再行订立背离合同实质性内容的其他协议。</w:t>
      </w:r>
    </w:p>
    <w:p w14:paraId="21E59F66">
      <w:pPr>
        <w:spacing w:line="400" w:lineRule="exact"/>
        <w:ind w:firstLine="420" w:firstLineChars="200"/>
        <w:rPr>
          <w:color w:val="auto"/>
          <w:szCs w:val="21"/>
          <w:highlight w:val="none"/>
        </w:rPr>
      </w:pPr>
      <w:r>
        <w:rPr>
          <w:rFonts w:hint="eastAsia"/>
          <w:color w:val="auto"/>
          <w:szCs w:val="21"/>
          <w:highlight w:val="none"/>
        </w:rPr>
        <w:t>8.2.2成交人无正当理由拒签合同的，采购人取消其成交资格，其竞争性谈判保证金不予退还；给采购人造成的损失超过竞争性谈判保证金数额的，成交人还应当对超过部分予以赔偿。</w:t>
      </w:r>
    </w:p>
    <w:p w14:paraId="14A36CEE">
      <w:pPr>
        <w:spacing w:line="400" w:lineRule="exact"/>
        <w:ind w:firstLine="420" w:firstLineChars="200"/>
        <w:rPr>
          <w:color w:val="auto"/>
          <w:szCs w:val="21"/>
          <w:highlight w:val="none"/>
        </w:rPr>
      </w:pPr>
    </w:p>
    <w:p w14:paraId="5E403B3F">
      <w:pPr>
        <w:pStyle w:val="6"/>
        <w:spacing w:before="240" w:after="120"/>
        <w:rPr>
          <w:color w:val="auto"/>
          <w:highlight w:val="none"/>
        </w:rPr>
      </w:pPr>
      <w:bookmarkStart w:id="96" w:name="_Toc456551926"/>
      <w:bookmarkStart w:id="97" w:name="_Toc1814"/>
      <w:r>
        <w:rPr>
          <w:rFonts w:hint="eastAsia"/>
          <w:color w:val="auto"/>
          <w:highlight w:val="none"/>
        </w:rPr>
        <w:t>9.采购代理服务费</w:t>
      </w:r>
      <w:bookmarkEnd w:id="96"/>
      <w:bookmarkEnd w:id="97"/>
    </w:p>
    <w:p w14:paraId="057868F9">
      <w:pPr>
        <w:spacing w:line="400" w:lineRule="exact"/>
        <w:ind w:firstLine="420" w:firstLineChars="200"/>
        <w:rPr>
          <w:color w:val="auto"/>
          <w:szCs w:val="21"/>
          <w:highlight w:val="none"/>
        </w:rPr>
      </w:pPr>
      <w:r>
        <w:rPr>
          <w:rFonts w:hint="eastAsia"/>
          <w:color w:val="auto"/>
          <w:szCs w:val="21"/>
          <w:highlight w:val="none"/>
        </w:rPr>
        <w:t>采购代理服务费的金额、形式及交纳时限见竞争性谈判响应须知前附表。</w:t>
      </w:r>
    </w:p>
    <w:p w14:paraId="1F176670">
      <w:pPr>
        <w:pStyle w:val="6"/>
        <w:rPr>
          <w:color w:val="auto"/>
          <w:highlight w:val="none"/>
        </w:rPr>
      </w:pPr>
      <w:bookmarkStart w:id="98" w:name="_Toc19131"/>
      <w:bookmarkStart w:id="99" w:name="_Toc456551927"/>
      <w:r>
        <w:rPr>
          <w:rFonts w:hint="eastAsia"/>
          <w:color w:val="auto"/>
          <w:highlight w:val="none"/>
        </w:rPr>
        <w:t>10. 纪律和监督</w:t>
      </w:r>
      <w:bookmarkEnd w:id="98"/>
      <w:bookmarkEnd w:id="99"/>
    </w:p>
    <w:p w14:paraId="1AFB8564">
      <w:pPr>
        <w:spacing w:line="400" w:lineRule="exact"/>
        <w:rPr>
          <w:rFonts w:ascii="宋体" w:hAnsi="宋体"/>
          <w:b/>
          <w:color w:val="auto"/>
          <w:sz w:val="32"/>
          <w:szCs w:val="32"/>
          <w:highlight w:val="none"/>
        </w:rPr>
      </w:pPr>
      <w:bookmarkStart w:id="100" w:name="_Toc475552169"/>
      <w:bookmarkStart w:id="101" w:name="_Toc456551928"/>
      <w:r>
        <w:rPr>
          <w:rFonts w:hint="eastAsia" w:ascii="宋体" w:hAnsi="宋体"/>
          <w:b/>
          <w:color w:val="auto"/>
          <w:sz w:val="32"/>
          <w:szCs w:val="32"/>
          <w:highlight w:val="none"/>
        </w:rPr>
        <w:t>10.1 对采购人的纪律要求</w:t>
      </w:r>
      <w:bookmarkEnd w:id="100"/>
      <w:bookmarkEnd w:id="101"/>
    </w:p>
    <w:p w14:paraId="27CD1177">
      <w:pPr>
        <w:spacing w:line="400" w:lineRule="exact"/>
        <w:ind w:firstLine="420" w:firstLineChars="200"/>
        <w:rPr>
          <w:color w:val="auto"/>
          <w:szCs w:val="21"/>
          <w:highlight w:val="none"/>
        </w:rPr>
      </w:pPr>
      <w:r>
        <w:rPr>
          <w:rFonts w:hint="eastAsia"/>
          <w:color w:val="auto"/>
          <w:szCs w:val="21"/>
          <w:highlight w:val="none"/>
        </w:rPr>
        <w:t>采购人不得泄漏竞争性谈判活动中应当保密的情况和资料，不得与响应人串通损害国家利益、社会公共利益或者他人合法权益。</w:t>
      </w:r>
    </w:p>
    <w:p w14:paraId="12C1DD59">
      <w:pPr>
        <w:spacing w:line="400" w:lineRule="exact"/>
        <w:rPr>
          <w:rFonts w:ascii="宋体" w:hAnsi="宋体"/>
          <w:b/>
          <w:color w:val="auto"/>
          <w:sz w:val="32"/>
          <w:szCs w:val="32"/>
          <w:highlight w:val="none"/>
        </w:rPr>
      </w:pPr>
      <w:bookmarkStart w:id="102" w:name="_Toc475552170"/>
      <w:bookmarkStart w:id="103" w:name="_Toc456551929"/>
      <w:r>
        <w:rPr>
          <w:rFonts w:hint="eastAsia" w:ascii="宋体" w:hAnsi="宋体"/>
          <w:b/>
          <w:color w:val="auto"/>
          <w:sz w:val="32"/>
          <w:szCs w:val="32"/>
          <w:highlight w:val="none"/>
        </w:rPr>
        <w:t>10.2 对响应人的纪律要求</w:t>
      </w:r>
      <w:bookmarkEnd w:id="102"/>
      <w:bookmarkEnd w:id="103"/>
    </w:p>
    <w:p w14:paraId="57AD243A">
      <w:pPr>
        <w:spacing w:line="400" w:lineRule="exact"/>
        <w:ind w:firstLine="420" w:firstLineChars="200"/>
        <w:rPr>
          <w:color w:val="auto"/>
          <w:szCs w:val="21"/>
          <w:highlight w:val="none"/>
        </w:rPr>
      </w:pPr>
      <w:r>
        <w:rPr>
          <w:rFonts w:hint="eastAsia"/>
          <w:color w:val="auto"/>
          <w:szCs w:val="21"/>
          <w:highlight w:val="none"/>
        </w:rPr>
        <w:t>响应人不得相互串通竞争性谈判或者与采购人串通竞争性谈判，不得向采购人或者谈判小组成员行贿谋取成交，不得以他人名义竞争性谈判或者以其他方式弄虚作假骗取成交；响应人不得以任何方式干扰、影响评审工作。</w:t>
      </w:r>
    </w:p>
    <w:p w14:paraId="4FBE11FE">
      <w:pPr>
        <w:spacing w:line="400" w:lineRule="exact"/>
        <w:rPr>
          <w:rFonts w:ascii="宋体" w:hAnsi="宋体"/>
          <w:b/>
          <w:color w:val="auto"/>
          <w:sz w:val="32"/>
          <w:szCs w:val="32"/>
          <w:highlight w:val="none"/>
        </w:rPr>
      </w:pPr>
      <w:bookmarkStart w:id="104" w:name="_Toc475552171"/>
      <w:bookmarkStart w:id="105" w:name="_Toc456551930"/>
      <w:r>
        <w:rPr>
          <w:rFonts w:hint="eastAsia" w:ascii="宋体" w:hAnsi="宋体"/>
          <w:b/>
          <w:color w:val="auto"/>
          <w:sz w:val="32"/>
          <w:szCs w:val="32"/>
          <w:highlight w:val="none"/>
        </w:rPr>
        <w:t>10.3 对谈判小组成员的纪律要求</w:t>
      </w:r>
      <w:bookmarkEnd w:id="104"/>
      <w:bookmarkEnd w:id="105"/>
    </w:p>
    <w:p w14:paraId="7C5461C3">
      <w:pPr>
        <w:spacing w:line="400" w:lineRule="exact"/>
        <w:ind w:firstLine="420" w:firstLineChars="200"/>
        <w:rPr>
          <w:color w:val="auto"/>
          <w:szCs w:val="21"/>
          <w:highlight w:val="none"/>
        </w:rPr>
      </w:pPr>
      <w:r>
        <w:rPr>
          <w:rFonts w:hint="eastAsia"/>
          <w:color w:val="auto"/>
          <w:szCs w:val="21"/>
          <w:highlight w:val="none"/>
        </w:rPr>
        <w:t>谈判小组成员不得收受他人的财物或者其他好处，不得向他人透漏对响应文件的评审和比较、成交候选人的推荐情况以及评审有关的其他情况。在评审活动中，谈判小组成员应当客观、公正地履行职责，遵守职业道德，不得擅离职守，影响评审程序正常进行，不得使用第三章“评审办法”没有规定的评审因素和标准进行评审。</w:t>
      </w:r>
    </w:p>
    <w:p w14:paraId="621F5E1B">
      <w:pPr>
        <w:spacing w:line="400" w:lineRule="exact"/>
        <w:rPr>
          <w:rFonts w:ascii="宋体" w:hAnsi="宋体"/>
          <w:b/>
          <w:color w:val="auto"/>
          <w:sz w:val="32"/>
          <w:szCs w:val="32"/>
          <w:highlight w:val="none"/>
        </w:rPr>
      </w:pPr>
      <w:bookmarkStart w:id="106" w:name="_Toc456551931"/>
      <w:bookmarkStart w:id="107" w:name="_Toc475552172"/>
      <w:r>
        <w:rPr>
          <w:rFonts w:hint="eastAsia" w:ascii="宋体" w:hAnsi="宋体"/>
          <w:b/>
          <w:color w:val="auto"/>
          <w:sz w:val="32"/>
          <w:szCs w:val="32"/>
          <w:highlight w:val="none"/>
        </w:rPr>
        <w:t>10.4 对与评审活动有关的工作人员的纪律要求</w:t>
      </w:r>
      <w:bookmarkEnd w:id="106"/>
      <w:bookmarkEnd w:id="107"/>
    </w:p>
    <w:p w14:paraId="06138BFB">
      <w:pPr>
        <w:spacing w:line="400" w:lineRule="exact"/>
        <w:ind w:firstLine="420" w:firstLineChars="200"/>
        <w:rPr>
          <w:color w:val="auto"/>
          <w:szCs w:val="21"/>
          <w:highlight w:val="none"/>
        </w:rPr>
      </w:pPr>
      <w:r>
        <w:rPr>
          <w:rFonts w:hint="eastAsia"/>
          <w:color w:val="auto"/>
          <w:szCs w:val="21"/>
          <w:highlight w:val="none"/>
        </w:rPr>
        <w:t>与评审活动有关的工作人员不得收受他人的财物或者其他好处，不得向他人透漏对响应文件的评审和比较、成交候选人的推荐情况以及评审有关的其他情况。在评审活动中，与评审活动有关的工作人员不得擅离职守，影响评审程序正常进行。</w:t>
      </w:r>
    </w:p>
    <w:p w14:paraId="0CCB28CF">
      <w:pPr>
        <w:spacing w:line="400" w:lineRule="exact"/>
        <w:rPr>
          <w:rFonts w:ascii="宋体" w:hAnsi="宋体"/>
          <w:b/>
          <w:color w:val="auto"/>
          <w:sz w:val="32"/>
          <w:szCs w:val="32"/>
          <w:highlight w:val="none"/>
        </w:rPr>
      </w:pPr>
      <w:r>
        <w:rPr>
          <w:rFonts w:hint="eastAsia" w:ascii="宋体" w:hAnsi="宋体"/>
          <w:b/>
          <w:color w:val="auto"/>
          <w:sz w:val="32"/>
          <w:szCs w:val="32"/>
          <w:highlight w:val="none"/>
        </w:rPr>
        <w:t>10.5 采购监督小组</w:t>
      </w:r>
    </w:p>
    <w:p w14:paraId="26D6491B">
      <w:pPr>
        <w:spacing w:line="400" w:lineRule="exact"/>
        <w:ind w:firstLine="420" w:firstLineChars="200"/>
        <w:rPr>
          <w:color w:val="auto"/>
          <w:szCs w:val="21"/>
          <w:highlight w:val="none"/>
        </w:rPr>
      </w:pPr>
      <w:r>
        <w:rPr>
          <w:color w:val="auto"/>
          <w:szCs w:val="21"/>
          <w:highlight w:val="none"/>
        </w:rPr>
        <w:t>10.5.</w:t>
      </w:r>
      <w:r>
        <w:rPr>
          <w:rFonts w:hint="eastAsia"/>
          <w:color w:val="auto"/>
          <w:szCs w:val="21"/>
          <w:highlight w:val="none"/>
        </w:rPr>
        <w:t>1采购人应当组建采购监督小组对竞争性谈判过程进行监督，及时指出、制止违反程序及纪律的行为，但不得就资格审查或者评标涉及的实质内容发表意见或者参与资格审查委员会、谈判小组的讨论。</w:t>
      </w:r>
    </w:p>
    <w:p w14:paraId="2E65B2A0">
      <w:pPr>
        <w:spacing w:line="400" w:lineRule="exact"/>
        <w:ind w:firstLine="420" w:firstLineChars="200"/>
        <w:rPr>
          <w:color w:val="auto"/>
          <w:szCs w:val="21"/>
          <w:highlight w:val="none"/>
        </w:rPr>
      </w:pPr>
      <w:r>
        <w:rPr>
          <w:color w:val="auto"/>
          <w:szCs w:val="21"/>
          <w:highlight w:val="none"/>
        </w:rPr>
        <w:t>10.5.</w:t>
      </w:r>
      <w:r>
        <w:rPr>
          <w:rFonts w:hint="eastAsia"/>
          <w:color w:val="auto"/>
          <w:szCs w:val="21"/>
          <w:highlight w:val="none"/>
        </w:rPr>
        <w:t>2特殊情况导致开标、评标无法继续进行的、相关人员存在违反程序及纪律的行为被指出后仍拒绝纠正的、发现竞争性谈判活动存在其他违反相关规定行为的，采购监督小组应当及时报告监督部门。</w:t>
      </w:r>
    </w:p>
    <w:p w14:paraId="56BF1FCA">
      <w:pPr>
        <w:spacing w:line="400" w:lineRule="exact"/>
        <w:ind w:firstLine="420" w:firstLineChars="200"/>
        <w:rPr>
          <w:color w:val="auto"/>
          <w:szCs w:val="21"/>
          <w:highlight w:val="none"/>
        </w:rPr>
      </w:pPr>
      <w:r>
        <w:rPr>
          <w:color w:val="auto"/>
          <w:szCs w:val="21"/>
          <w:highlight w:val="none"/>
        </w:rPr>
        <w:t>10.5.</w:t>
      </w:r>
      <w:r>
        <w:rPr>
          <w:rFonts w:hint="eastAsia"/>
          <w:color w:val="auto"/>
          <w:szCs w:val="21"/>
          <w:highlight w:val="none"/>
        </w:rPr>
        <w:t>3采购监督小组可以通过检查、随机抽查、现场监督、网络在线监督等方式对竞争性谈判活动进行监督，竞争性谈判活动各方应当自觉接受监督检查。</w:t>
      </w:r>
    </w:p>
    <w:p w14:paraId="28892AF1">
      <w:pPr>
        <w:pStyle w:val="6"/>
        <w:rPr>
          <w:color w:val="auto"/>
          <w:highlight w:val="none"/>
        </w:rPr>
      </w:pPr>
      <w:bookmarkStart w:id="108" w:name="_Toc29150"/>
      <w:bookmarkStart w:id="109" w:name="_Toc456551933"/>
      <w:bookmarkStart w:id="110" w:name="_Toc246996175"/>
      <w:bookmarkStart w:id="111" w:name="_Toc247085689"/>
      <w:bookmarkStart w:id="112" w:name="_Toc152042305"/>
      <w:bookmarkStart w:id="113" w:name="_Toc246996918"/>
      <w:bookmarkStart w:id="114" w:name="_Toc296602420"/>
      <w:bookmarkStart w:id="115" w:name="_Toc152045529"/>
      <w:bookmarkStart w:id="116" w:name="_Toc144974497"/>
      <w:bookmarkStart w:id="117" w:name="_Toc179632546"/>
      <w:r>
        <w:rPr>
          <w:rFonts w:hint="eastAsia"/>
          <w:color w:val="auto"/>
          <w:highlight w:val="none"/>
        </w:rPr>
        <w:t>11. 需要补充的其他内容</w:t>
      </w:r>
      <w:bookmarkEnd w:id="108"/>
      <w:bookmarkEnd w:id="109"/>
    </w:p>
    <w:p w14:paraId="41AD6D7C">
      <w:pPr>
        <w:spacing w:line="400" w:lineRule="exact"/>
        <w:ind w:firstLine="420" w:firstLineChars="200"/>
        <w:rPr>
          <w:color w:val="auto"/>
          <w:szCs w:val="21"/>
          <w:highlight w:val="none"/>
        </w:rPr>
      </w:pPr>
      <w:r>
        <w:rPr>
          <w:rFonts w:hint="eastAsia"/>
          <w:color w:val="auto"/>
          <w:szCs w:val="21"/>
          <w:highlight w:val="none"/>
        </w:rPr>
        <w:t>需要补充的其他内容：见竞争性谈判响应须知前附表。</w:t>
      </w:r>
    </w:p>
    <w:p w14:paraId="4D71F16E">
      <w:pPr>
        <w:spacing w:before="156" w:beforeLines="50" w:after="156" w:afterLines="50" w:line="400" w:lineRule="exact"/>
        <w:rPr>
          <w:color w:val="auto"/>
          <w:highlight w:val="none"/>
        </w:rPr>
      </w:pPr>
      <w:r>
        <w:rPr>
          <w:color w:val="auto"/>
          <w:szCs w:val="21"/>
          <w:highlight w:val="none"/>
        </w:rPr>
        <w:br w:type="page"/>
      </w:r>
    </w:p>
    <w:p w14:paraId="6DEFD448">
      <w:pPr>
        <w:pStyle w:val="5"/>
        <w:spacing w:before="0"/>
        <w:jc w:val="center"/>
        <w:rPr>
          <w:rFonts w:ascii="宋体" w:hAnsi="宋体"/>
          <w:color w:val="auto"/>
          <w:sz w:val="28"/>
          <w:szCs w:val="28"/>
          <w:highlight w:val="none"/>
        </w:rPr>
      </w:pPr>
      <w:bookmarkStart w:id="118" w:name="_Toc456551939"/>
      <w:bookmarkStart w:id="119" w:name="_Toc17519"/>
      <w:r>
        <w:rPr>
          <w:rFonts w:hint="eastAsia" w:ascii="宋体" w:hAnsi="宋体"/>
          <w:color w:val="auto"/>
          <w:sz w:val="28"/>
          <w:szCs w:val="28"/>
          <w:highlight w:val="none"/>
        </w:rPr>
        <w:t>第三章 评审办法</w:t>
      </w:r>
      <w:bookmarkEnd w:id="118"/>
      <w:bookmarkEnd w:id="119"/>
    </w:p>
    <w:p w14:paraId="5682DF6A">
      <w:pPr>
        <w:pStyle w:val="7"/>
        <w:spacing w:before="0" w:after="120" w:line="415" w:lineRule="auto"/>
        <w:jc w:val="left"/>
        <w:rPr>
          <w:rFonts w:ascii="黑体" w:hAnsi="黑体" w:eastAsia="黑体"/>
          <w:color w:val="auto"/>
          <w:sz w:val="28"/>
          <w:szCs w:val="28"/>
          <w:highlight w:val="none"/>
        </w:rPr>
      </w:pPr>
      <w:bookmarkStart w:id="120" w:name="_Toc23100"/>
      <w:bookmarkStart w:id="121" w:name="_Toc456551940"/>
      <w:r>
        <w:rPr>
          <w:rFonts w:hint="eastAsia" w:ascii="黑体" w:hAnsi="黑体" w:eastAsia="黑体"/>
          <w:color w:val="auto"/>
          <w:sz w:val="28"/>
          <w:szCs w:val="28"/>
          <w:highlight w:val="none"/>
        </w:rPr>
        <w:t>一、评审办法前附表</w:t>
      </w:r>
      <w:bookmarkEnd w:id="120"/>
    </w:p>
    <w:tbl>
      <w:tblPr>
        <w:tblStyle w:val="38"/>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973"/>
        <w:gridCol w:w="4689"/>
        <w:gridCol w:w="1134"/>
      </w:tblGrid>
      <w:tr w14:paraId="4A130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993" w:type="dxa"/>
            <w:tcBorders>
              <w:top w:val="single" w:color="auto" w:sz="4" w:space="0"/>
              <w:left w:val="single" w:color="auto" w:sz="4" w:space="0"/>
              <w:bottom w:val="single" w:color="auto" w:sz="4" w:space="0"/>
              <w:right w:val="single" w:color="auto" w:sz="4" w:space="0"/>
            </w:tcBorders>
            <w:vAlign w:val="center"/>
          </w:tcPr>
          <w:p w14:paraId="28FE9DF1">
            <w:pPr>
              <w:snapToGrid w:val="0"/>
              <w:jc w:val="center"/>
              <w:rPr>
                <w:rFonts w:ascii="宋体" w:hAnsi="宋体" w:cs="宋体"/>
                <w:color w:val="auto"/>
                <w:kern w:val="0"/>
                <w:sz w:val="20"/>
                <w:szCs w:val="21"/>
                <w:highlight w:val="none"/>
              </w:rPr>
            </w:pPr>
            <w:r>
              <w:rPr>
                <w:rFonts w:hint="eastAsia" w:ascii="宋体" w:hAnsi="宋体" w:cs="宋体"/>
                <w:color w:val="auto"/>
                <w:szCs w:val="21"/>
                <w:highlight w:val="none"/>
              </w:rPr>
              <w:t>序号</w:t>
            </w:r>
          </w:p>
        </w:tc>
        <w:tc>
          <w:tcPr>
            <w:tcW w:w="1973" w:type="dxa"/>
            <w:tcBorders>
              <w:top w:val="single" w:color="auto" w:sz="4" w:space="0"/>
              <w:left w:val="single" w:color="auto" w:sz="4" w:space="0"/>
              <w:bottom w:val="single" w:color="auto" w:sz="4" w:space="0"/>
              <w:right w:val="single" w:color="auto" w:sz="4" w:space="0"/>
            </w:tcBorders>
            <w:vAlign w:val="center"/>
          </w:tcPr>
          <w:p w14:paraId="32A25818">
            <w:pPr>
              <w:snapToGrid w:val="0"/>
              <w:jc w:val="center"/>
              <w:rPr>
                <w:rFonts w:ascii="宋体" w:hAnsi="宋体" w:cs="宋体"/>
                <w:color w:val="auto"/>
                <w:szCs w:val="21"/>
                <w:highlight w:val="none"/>
              </w:rPr>
            </w:pPr>
            <w:r>
              <w:rPr>
                <w:rFonts w:hint="eastAsia" w:ascii="宋体" w:hAnsi="宋体" w:cs="宋体"/>
                <w:color w:val="auto"/>
                <w:kern w:val="0"/>
                <w:sz w:val="20"/>
                <w:szCs w:val="21"/>
                <w:highlight w:val="none"/>
              </w:rPr>
              <w:t>评审内容</w:t>
            </w:r>
          </w:p>
        </w:tc>
        <w:tc>
          <w:tcPr>
            <w:tcW w:w="4689" w:type="dxa"/>
            <w:tcBorders>
              <w:top w:val="single" w:color="auto" w:sz="4" w:space="0"/>
              <w:left w:val="single" w:color="auto" w:sz="4" w:space="0"/>
              <w:bottom w:val="single" w:color="auto" w:sz="4" w:space="0"/>
              <w:right w:val="single" w:color="auto" w:sz="4" w:space="0"/>
            </w:tcBorders>
            <w:vAlign w:val="center"/>
          </w:tcPr>
          <w:p w14:paraId="71629AD2">
            <w:pPr>
              <w:snapToGrid w:val="0"/>
              <w:jc w:val="center"/>
              <w:rPr>
                <w:rFonts w:ascii="宋体" w:hAnsi="宋体" w:cs="宋体"/>
                <w:color w:val="auto"/>
                <w:highlight w:val="none"/>
              </w:rPr>
            </w:pPr>
            <w:r>
              <w:rPr>
                <w:rFonts w:hint="eastAsia" w:ascii="宋体" w:hAnsi="宋体" w:cs="宋体"/>
                <w:color w:val="auto"/>
                <w:kern w:val="0"/>
                <w:sz w:val="20"/>
                <w:szCs w:val="21"/>
                <w:highlight w:val="none"/>
              </w:rPr>
              <w:t>评审标准</w:t>
            </w:r>
          </w:p>
        </w:tc>
        <w:tc>
          <w:tcPr>
            <w:tcW w:w="1134" w:type="dxa"/>
            <w:tcBorders>
              <w:top w:val="single" w:color="auto" w:sz="4" w:space="0"/>
              <w:left w:val="single" w:color="auto" w:sz="4" w:space="0"/>
              <w:bottom w:val="single" w:color="auto" w:sz="4" w:space="0"/>
              <w:right w:val="single" w:color="auto" w:sz="4" w:space="0"/>
            </w:tcBorders>
            <w:vAlign w:val="center"/>
          </w:tcPr>
          <w:p w14:paraId="48D846CE">
            <w:pPr>
              <w:snapToGrid w:val="0"/>
              <w:jc w:val="center"/>
              <w:rPr>
                <w:rFonts w:ascii="宋体" w:hAnsi="宋体" w:cs="宋体"/>
                <w:color w:val="auto"/>
                <w:highlight w:val="none"/>
              </w:rPr>
            </w:pPr>
            <w:r>
              <w:rPr>
                <w:rFonts w:hint="eastAsia" w:ascii="宋体" w:hAnsi="宋体" w:cs="宋体"/>
                <w:color w:val="auto"/>
                <w:highlight w:val="none"/>
              </w:rPr>
              <w:t>竞争性谈判文件索引页码</w:t>
            </w:r>
          </w:p>
        </w:tc>
      </w:tr>
      <w:tr w14:paraId="50477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993" w:type="dxa"/>
            <w:tcBorders>
              <w:top w:val="single" w:color="auto" w:sz="4" w:space="0"/>
              <w:left w:val="single" w:color="auto" w:sz="4" w:space="0"/>
              <w:bottom w:val="single" w:color="auto" w:sz="4" w:space="0"/>
              <w:right w:val="single" w:color="auto" w:sz="4" w:space="0"/>
            </w:tcBorders>
            <w:vAlign w:val="center"/>
          </w:tcPr>
          <w:p w14:paraId="3AC38DDB">
            <w:pPr>
              <w:snapToGrid w:val="0"/>
              <w:jc w:val="center"/>
              <w:rPr>
                <w:rFonts w:ascii="宋体" w:hAnsi="宋体" w:cs="宋体"/>
                <w:color w:val="auto"/>
                <w:szCs w:val="21"/>
                <w:highlight w:val="none"/>
              </w:rPr>
            </w:pPr>
            <w:r>
              <w:rPr>
                <w:rFonts w:hint="eastAsia" w:ascii="宋体" w:hAnsi="宋体" w:cs="宋体"/>
                <w:color w:val="auto"/>
                <w:szCs w:val="21"/>
                <w:highlight w:val="none"/>
              </w:rPr>
              <w:t>1</w:t>
            </w:r>
          </w:p>
        </w:tc>
        <w:tc>
          <w:tcPr>
            <w:tcW w:w="1973" w:type="dxa"/>
            <w:tcBorders>
              <w:top w:val="single" w:color="auto" w:sz="4" w:space="0"/>
              <w:left w:val="single" w:color="auto" w:sz="4" w:space="0"/>
              <w:bottom w:val="single" w:color="auto" w:sz="4" w:space="0"/>
              <w:right w:val="single" w:color="auto" w:sz="4" w:space="0"/>
            </w:tcBorders>
            <w:vAlign w:val="center"/>
          </w:tcPr>
          <w:p w14:paraId="1062115D">
            <w:pPr>
              <w:snapToGrid w:val="0"/>
              <w:jc w:val="center"/>
              <w:rPr>
                <w:rFonts w:ascii="宋体" w:hAnsi="宋体" w:cs="宋体"/>
                <w:color w:val="auto"/>
                <w:kern w:val="0"/>
                <w:sz w:val="20"/>
                <w:szCs w:val="21"/>
                <w:highlight w:val="none"/>
              </w:rPr>
            </w:pPr>
            <w:r>
              <w:rPr>
                <w:rFonts w:hint="eastAsia" w:ascii="宋体" w:hAnsi="宋体" w:cs="宋体"/>
                <w:color w:val="auto"/>
                <w:kern w:val="0"/>
                <w:sz w:val="20"/>
                <w:szCs w:val="21"/>
                <w:highlight w:val="none"/>
              </w:rPr>
              <w:t>响应人资格要求</w:t>
            </w:r>
          </w:p>
        </w:tc>
        <w:tc>
          <w:tcPr>
            <w:tcW w:w="4689" w:type="dxa"/>
            <w:tcBorders>
              <w:top w:val="single" w:color="auto" w:sz="4" w:space="0"/>
              <w:left w:val="single" w:color="auto" w:sz="4" w:space="0"/>
              <w:bottom w:val="single" w:color="auto" w:sz="4" w:space="0"/>
              <w:right w:val="single" w:color="auto" w:sz="4" w:space="0"/>
            </w:tcBorders>
            <w:vAlign w:val="center"/>
          </w:tcPr>
          <w:p w14:paraId="78660F17">
            <w:pPr>
              <w:snapToGrid w:val="0"/>
              <w:jc w:val="center"/>
              <w:rPr>
                <w:rFonts w:ascii="宋体" w:hAnsi="宋体" w:cs="宋体"/>
                <w:color w:val="auto"/>
                <w:kern w:val="0"/>
                <w:sz w:val="20"/>
                <w:szCs w:val="21"/>
                <w:highlight w:val="none"/>
              </w:rPr>
            </w:pPr>
            <w:r>
              <w:rPr>
                <w:rFonts w:hint="eastAsia" w:ascii="宋体" w:hAnsi="宋体" w:cs="宋体"/>
                <w:color w:val="auto"/>
                <w:kern w:val="0"/>
                <w:sz w:val="20"/>
                <w:szCs w:val="21"/>
                <w:highlight w:val="none"/>
              </w:rPr>
              <w:t>符合响应人资格要求</w:t>
            </w:r>
          </w:p>
        </w:tc>
        <w:tc>
          <w:tcPr>
            <w:tcW w:w="1134" w:type="dxa"/>
            <w:tcBorders>
              <w:top w:val="single" w:color="auto" w:sz="4" w:space="0"/>
              <w:left w:val="single" w:color="auto" w:sz="4" w:space="0"/>
              <w:bottom w:val="single" w:color="auto" w:sz="4" w:space="0"/>
              <w:right w:val="single" w:color="auto" w:sz="4" w:space="0"/>
            </w:tcBorders>
            <w:vAlign w:val="center"/>
          </w:tcPr>
          <w:p w14:paraId="3DF6EA7C">
            <w:pPr>
              <w:snapToGrid w:val="0"/>
              <w:jc w:val="center"/>
              <w:rPr>
                <w:rFonts w:ascii="宋体" w:hAnsi="宋体" w:cs="宋体"/>
                <w:color w:val="auto"/>
                <w:kern w:val="0"/>
                <w:sz w:val="20"/>
                <w:szCs w:val="21"/>
                <w:highlight w:val="none"/>
              </w:rPr>
            </w:pPr>
          </w:p>
        </w:tc>
      </w:tr>
      <w:tr w14:paraId="12CE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993" w:type="dxa"/>
            <w:tcBorders>
              <w:top w:val="single" w:color="auto" w:sz="4" w:space="0"/>
              <w:left w:val="single" w:color="auto" w:sz="4" w:space="0"/>
              <w:bottom w:val="single" w:color="auto" w:sz="4" w:space="0"/>
              <w:right w:val="single" w:color="auto" w:sz="4" w:space="0"/>
            </w:tcBorders>
            <w:vAlign w:val="center"/>
          </w:tcPr>
          <w:p w14:paraId="08F05E29">
            <w:pPr>
              <w:snapToGrid w:val="0"/>
              <w:jc w:val="center"/>
              <w:rPr>
                <w:rFonts w:ascii="宋体" w:hAnsi="宋体" w:cs="宋体"/>
                <w:color w:val="auto"/>
                <w:szCs w:val="21"/>
                <w:highlight w:val="none"/>
              </w:rPr>
            </w:pPr>
            <w:r>
              <w:rPr>
                <w:rFonts w:hint="eastAsia" w:ascii="宋体" w:hAnsi="宋体" w:cs="宋体"/>
                <w:color w:val="auto"/>
                <w:szCs w:val="21"/>
                <w:highlight w:val="none"/>
              </w:rPr>
              <w:t>2</w:t>
            </w:r>
          </w:p>
        </w:tc>
        <w:tc>
          <w:tcPr>
            <w:tcW w:w="1973" w:type="dxa"/>
            <w:tcBorders>
              <w:top w:val="single" w:color="auto" w:sz="4" w:space="0"/>
              <w:left w:val="single" w:color="auto" w:sz="4" w:space="0"/>
              <w:bottom w:val="single" w:color="auto" w:sz="4" w:space="0"/>
              <w:right w:val="single" w:color="auto" w:sz="4" w:space="0"/>
            </w:tcBorders>
            <w:vAlign w:val="center"/>
          </w:tcPr>
          <w:p w14:paraId="7FEE6D8E">
            <w:pPr>
              <w:snapToGrid w:val="0"/>
              <w:jc w:val="center"/>
              <w:rPr>
                <w:rFonts w:ascii="宋体" w:hAnsi="宋体" w:cs="宋体"/>
                <w:color w:val="auto"/>
                <w:kern w:val="0"/>
                <w:sz w:val="20"/>
                <w:szCs w:val="21"/>
                <w:highlight w:val="none"/>
              </w:rPr>
            </w:pPr>
            <w:r>
              <w:rPr>
                <w:rFonts w:hint="eastAsia" w:ascii="宋体" w:hAnsi="宋体" w:cs="宋体"/>
                <w:color w:val="auto"/>
                <w:kern w:val="0"/>
                <w:sz w:val="20"/>
                <w:szCs w:val="21"/>
                <w:highlight w:val="none"/>
              </w:rPr>
              <w:t>竞争性谈判保证金</w:t>
            </w:r>
          </w:p>
        </w:tc>
        <w:tc>
          <w:tcPr>
            <w:tcW w:w="4689" w:type="dxa"/>
            <w:tcBorders>
              <w:top w:val="single" w:color="auto" w:sz="4" w:space="0"/>
              <w:left w:val="single" w:color="auto" w:sz="4" w:space="0"/>
              <w:bottom w:val="single" w:color="auto" w:sz="4" w:space="0"/>
              <w:right w:val="single" w:color="auto" w:sz="4" w:space="0"/>
            </w:tcBorders>
            <w:vAlign w:val="center"/>
          </w:tcPr>
          <w:p w14:paraId="06D76C2E">
            <w:pPr>
              <w:snapToGrid w:val="0"/>
              <w:jc w:val="center"/>
              <w:rPr>
                <w:rFonts w:ascii="宋体" w:hAnsi="宋体" w:cs="宋体"/>
                <w:color w:val="auto"/>
                <w:kern w:val="0"/>
                <w:sz w:val="20"/>
                <w:szCs w:val="21"/>
                <w:highlight w:val="none"/>
              </w:rPr>
            </w:pPr>
            <w:r>
              <w:rPr>
                <w:rFonts w:hint="eastAsia" w:hAnsi="宋体" w:cs="宋体"/>
                <w:bCs/>
                <w:color w:val="auto"/>
                <w:szCs w:val="21"/>
                <w:highlight w:val="none"/>
                <w:lang w:bidi="ar"/>
              </w:rPr>
              <w:t>按采购文件的规定提交竞争性谈判保证金的</w:t>
            </w:r>
          </w:p>
        </w:tc>
        <w:tc>
          <w:tcPr>
            <w:tcW w:w="1134" w:type="dxa"/>
            <w:tcBorders>
              <w:top w:val="single" w:color="auto" w:sz="4" w:space="0"/>
              <w:left w:val="single" w:color="auto" w:sz="4" w:space="0"/>
              <w:bottom w:val="single" w:color="auto" w:sz="4" w:space="0"/>
              <w:right w:val="single" w:color="auto" w:sz="4" w:space="0"/>
            </w:tcBorders>
            <w:vAlign w:val="center"/>
          </w:tcPr>
          <w:p w14:paraId="075EB3F8">
            <w:pPr>
              <w:snapToGrid w:val="0"/>
              <w:jc w:val="center"/>
              <w:rPr>
                <w:rFonts w:ascii="宋体" w:hAnsi="宋体" w:cs="宋体"/>
                <w:color w:val="auto"/>
                <w:kern w:val="0"/>
                <w:sz w:val="20"/>
                <w:szCs w:val="21"/>
                <w:highlight w:val="none"/>
              </w:rPr>
            </w:pPr>
          </w:p>
        </w:tc>
      </w:tr>
      <w:tr w14:paraId="711E1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993" w:type="dxa"/>
            <w:tcBorders>
              <w:top w:val="single" w:color="auto" w:sz="4" w:space="0"/>
              <w:left w:val="single" w:color="auto" w:sz="4" w:space="0"/>
              <w:bottom w:val="single" w:color="auto" w:sz="4" w:space="0"/>
              <w:right w:val="single" w:color="auto" w:sz="4" w:space="0"/>
            </w:tcBorders>
            <w:vAlign w:val="center"/>
          </w:tcPr>
          <w:p w14:paraId="66A2C18C">
            <w:pPr>
              <w:snapToGrid w:val="0"/>
              <w:jc w:val="center"/>
              <w:rPr>
                <w:rFonts w:ascii="宋体" w:hAnsi="宋体" w:cs="宋体"/>
                <w:color w:val="auto"/>
                <w:szCs w:val="21"/>
                <w:highlight w:val="none"/>
              </w:rPr>
            </w:pPr>
            <w:r>
              <w:rPr>
                <w:rFonts w:hint="eastAsia" w:ascii="宋体" w:hAnsi="宋体" w:cs="宋体"/>
                <w:color w:val="auto"/>
                <w:szCs w:val="21"/>
                <w:highlight w:val="none"/>
              </w:rPr>
              <w:t>3</w:t>
            </w:r>
          </w:p>
        </w:tc>
        <w:tc>
          <w:tcPr>
            <w:tcW w:w="1973" w:type="dxa"/>
            <w:tcBorders>
              <w:top w:val="single" w:color="auto" w:sz="4" w:space="0"/>
              <w:left w:val="single" w:color="auto" w:sz="4" w:space="0"/>
              <w:bottom w:val="single" w:color="auto" w:sz="4" w:space="0"/>
              <w:right w:val="single" w:color="auto" w:sz="4" w:space="0"/>
            </w:tcBorders>
            <w:vAlign w:val="center"/>
          </w:tcPr>
          <w:p w14:paraId="5659A51B">
            <w:pPr>
              <w:snapToGrid w:val="0"/>
              <w:jc w:val="center"/>
              <w:rPr>
                <w:rFonts w:ascii="宋体" w:hAnsi="宋体" w:cs="宋体"/>
                <w:color w:val="auto"/>
                <w:kern w:val="0"/>
                <w:sz w:val="20"/>
                <w:szCs w:val="21"/>
                <w:highlight w:val="none"/>
              </w:rPr>
            </w:pPr>
            <w:r>
              <w:rPr>
                <w:rFonts w:hint="eastAsia" w:ascii="宋体" w:hAnsi="宋体" w:cs="宋体"/>
                <w:color w:val="auto"/>
                <w:kern w:val="0"/>
                <w:sz w:val="20"/>
                <w:szCs w:val="21"/>
                <w:highlight w:val="none"/>
              </w:rPr>
              <w:t>响应文件盖章、签署</w:t>
            </w:r>
          </w:p>
        </w:tc>
        <w:tc>
          <w:tcPr>
            <w:tcW w:w="4689" w:type="dxa"/>
            <w:tcBorders>
              <w:top w:val="single" w:color="auto" w:sz="4" w:space="0"/>
              <w:left w:val="single" w:color="auto" w:sz="4" w:space="0"/>
              <w:bottom w:val="single" w:color="auto" w:sz="4" w:space="0"/>
              <w:right w:val="single" w:color="auto" w:sz="4" w:space="0"/>
            </w:tcBorders>
            <w:vAlign w:val="center"/>
          </w:tcPr>
          <w:p w14:paraId="221FE2ED">
            <w:pPr>
              <w:snapToGrid w:val="0"/>
              <w:jc w:val="center"/>
              <w:rPr>
                <w:rFonts w:ascii="宋体" w:hAnsi="宋体" w:cs="宋体"/>
                <w:color w:val="auto"/>
                <w:kern w:val="0"/>
                <w:sz w:val="20"/>
                <w:szCs w:val="21"/>
                <w:highlight w:val="none"/>
              </w:rPr>
            </w:pPr>
            <w:r>
              <w:rPr>
                <w:rFonts w:hint="eastAsia" w:hAnsi="宋体" w:cs="宋体"/>
                <w:bCs/>
                <w:color w:val="auto"/>
                <w:szCs w:val="21"/>
                <w:highlight w:val="none"/>
                <w:lang w:bidi="ar"/>
              </w:rPr>
              <w:t>响应文件按采购文件要求签署、盖章的</w:t>
            </w:r>
          </w:p>
        </w:tc>
        <w:tc>
          <w:tcPr>
            <w:tcW w:w="1134" w:type="dxa"/>
            <w:tcBorders>
              <w:top w:val="single" w:color="auto" w:sz="4" w:space="0"/>
              <w:left w:val="single" w:color="auto" w:sz="4" w:space="0"/>
              <w:bottom w:val="single" w:color="auto" w:sz="4" w:space="0"/>
              <w:right w:val="single" w:color="auto" w:sz="4" w:space="0"/>
            </w:tcBorders>
            <w:vAlign w:val="center"/>
          </w:tcPr>
          <w:p w14:paraId="079418CD">
            <w:pPr>
              <w:snapToGrid w:val="0"/>
              <w:jc w:val="center"/>
              <w:rPr>
                <w:rFonts w:ascii="宋体" w:hAnsi="宋体" w:cs="宋体"/>
                <w:color w:val="auto"/>
                <w:kern w:val="0"/>
                <w:sz w:val="20"/>
                <w:szCs w:val="21"/>
                <w:highlight w:val="none"/>
              </w:rPr>
            </w:pPr>
          </w:p>
        </w:tc>
      </w:tr>
      <w:tr w14:paraId="158C7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993" w:type="dxa"/>
            <w:tcBorders>
              <w:top w:val="single" w:color="auto" w:sz="4" w:space="0"/>
              <w:left w:val="single" w:color="auto" w:sz="4" w:space="0"/>
              <w:bottom w:val="single" w:color="auto" w:sz="4" w:space="0"/>
              <w:right w:val="single" w:color="auto" w:sz="4" w:space="0"/>
            </w:tcBorders>
            <w:vAlign w:val="center"/>
          </w:tcPr>
          <w:p w14:paraId="36E24EEB">
            <w:pPr>
              <w:snapToGrid w:val="0"/>
              <w:jc w:val="center"/>
              <w:rPr>
                <w:rFonts w:ascii="宋体" w:hAnsi="宋体" w:cs="宋体"/>
                <w:color w:val="auto"/>
                <w:szCs w:val="21"/>
                <w:highlight w:val="none"/>
              </w:rPr>
            </w:pPr>
            <w:r>
              <w:rPr>
                <w:rFonts w:hint="eastAsia" w:ascii="宋体" w:hAnsi="宋体" w:cs="宋体"/>
                <w:color w:val="auto"/>
                <w:szCs w:val="21"/>
                <w:highlight w:val="none"/>
              </w:rPr>
              <w:t>4</w:t>
            </w:r>
          </w:p>
        </w:tc>
        <w:tc>
          <w:tcPr>
            <w:tcW w:w="1973" w:type="dxa"/>
            <w:tcBorders>
              <w:top w:val="single" w:color="auto" w:sz="4" w:space="0"/>
              <w:left w:val="single" w:color="auto" w:sz="4" w:space="0"/>
              <w:bottom w:val="single" w:color="auto" w:sz="4" w:space="0"/>
              <w:right w:val="single" w:color="auto" w:sz="4" w:space="0"/>
            </w:tcBorders>
            <w:vAlign w:val="center"/>
          </w:tcPr>
          <w:p w14:paraId="6F0E9E58">
            <w:pPr>
              <w:snapToGrid w:val="0"/>
              <w:jc w:val="center"/>
              <w:rPr>
                <w:rFonts w:ascii="宋体" w:hAnsi="宋体" w:cs="宋体"/>
                <w:color w:val="auto"/>
                <w:kern w:val="0"/>
                <w:sz w:val="20"/>
                <w:szCs w:val="21"/>
                <w:highlight w:val="none"/>
              </w:rPr>
            </w:pPr>
            <w:r>
              <w:rPr>
                <w:rFonts w:hint="eastAsia" w:ascii="宋体" w:hAnsi="宋体" w:cs="宋体"/>
                <w:color w:val="auto"/>
                <w:kern w:val="0"/>
                <w:sz w:val="20"/>
                <w:szCs w:val="21"/>
                <w:highlight w:val="none"/>
              </w:rPr>
              <w:t>报价</w:t>
            </w:r>
          </w:p>
        </w:tc>
        <w:tc>
          <w:tcPr>
            <w:tcW w:w="4689" w:type="dxa"/>
            <w:tcBorders>
              <w:top w:val="single" w:color="auto" w:sz="4" w:space="0"/>
              <w:left w:val="single" w:color="auto" w:sz="4" w:space="0"/>
              <w:bottom w:val="single" w:color="auto" w:sz="4" w:space="0"/>
              <w:right w:val="single" w:color="auto" w:sz="4" w:space="0"/>
            </w:tcBorders>
            <w:vAlign w:val="center"/>
          </w:tcPr>
          <w:p w14:paraId="27B51CD5">
            <w:pPr>
              <w:snapToGrid w:val="0"/>
              <w:jc w:val="center"/>
              <w:rPr>
                <w:rFonts w:ascii="宋体" w:hAnsi="宋体" w:cs="宋体"/>
                <w:color w:val="auto"/>
                <w:kern w:val="0"/>
                <w:sz w:val="20"/>
                <w:szCs w:val="21"/>
                <w:highlight w:val="none"/>
              </w:rPr>
            </w:pPr>
            <w:r>
              <w:rPr>
                <w:rFonts w:hint="eastAsia" w:hAnsi="宋体" w:cs="宋体"/>
                <w:bCs/>
                <w:color w:val="auto"/>
                <w:szCs w:val="21"/>
                <w:highlight w:val="none"/>
                <w:lang w:bidi="ar"/>
              </w:rPr>
              <w:t>按照竞争性谈判文件的规定进行报价的</w:t>
            </w:r>
          </w:p>
        </w:tc>
        <w:tc>
          <w:tcPr>
            <w:tcW w:w="1134" w:type="dxa"/>
            <w:tcBorders>
              <w:top w:val="single" w:color="auto" w:sz="4" w:space="0"/>
              <w:left w:val="single" w:color="auto" w:sz="4" w:space="0"/>
              <w:bottom w:val="single" w:color="auto" w:sz="4" w:space="0"/>
              <w:right w:val="single" w:color="auto" w:sz="4" w:space="0"/>
            </w:tcBorders>
            <w:vAlign w:val="center"/>
          </w:tcPr>
          <w:p w14:paraId="2B65AAEE">
            <w:pPr>
              <w:snapToGrid w:val="0"/>
              <w:jc w:val="center"/>
              <w:rPr>
                <w:rFonts w:ascii="宋体" w:hAnsi="宋体" w:cs="宋体"/>
                <w:color w:val="auto"/>
                <w:kern w:val="0"/>
                <w:sz w:val="20"/>
                <w:szCs w:val="21"/>
                <w:highlight w:val="none"/>
              </w:rPr>
            </w:pPr>
          </w:p>
        </w:tc>
      </w:tr>
      <w:tr w14:paraId="2E2D0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993" w:type="dxa"/>
            <w:tcBorders>
              <w:top w:val="single" w:color="auto" w:sz="4" w:space="0"/>
              <w:left w:val="single" w:color="auto" w:sz="4" w:space="0"/>
              <w:bottom w:val="single" w:color="auto" w:sz="4" w:space="0"/>
              <w:right w:val="single" w:color="auto" w:sz="4" w:space="0"/>
            </w:tcBorders>
            <w:vAlign w:val="center"/>
          </w:tcPr>
          <w:p w14:paraId="5DAB12A9">
            <w:pPr>
              <w:snapToGrid w:val="0"/>
              <w:jc w:val="center"/>
              <w:rPr>
                <w:rFonts w:ascii="宋体" w:hAnsi="宋体" w:cs="宋体"/>
                <w:color w:val="auto"/>
                <w:szCs w:val="21"/>
                <w:highlight w:val="none"/>
              </w:rPr>
            </w:pPr>
            <w:r>
              <w:rPr>
                <w:rFonts w:hint="eastAsia" w:ascii="宋体" w:hAnsi="宋体" w:cs="宋体"/>
                <w:color w:val="auto"/>
                <w:szCs w:val="21"/>
                <w:highlight w:val="none"/>
              </w:rPr>
              <w:t>5</w:t>
            </w:r>
          </w:p>
        </w:tc>
        <w:tc>
          <w:tcPr>
            <w:tcW w:w="1973" w:type="dxa"/>
            <w:tcBorders>
              <w:top w:val="single" w:color="auto" w:sz="4" w:space="0"/>
              <w:left w:val="single" w:color="auto" w:sz="4" w:space="0"/>
              <w:bottom w:val="single" w:color="auto" w:sz="4" w:space="0"/>
              <w:right w:val="single" w:color="auto" w:sz="4" w:space="0"/>
            </w:tcBorders>
            <w:vAlign w:val="center"/>
          </w:tcPr>
          <w:p w14:paraId="5DDED959">
            <w:pPr>
              <w:snapToGrid w:val="0"/>
              <w:jc w:val="center"/>
              <w:rPr>
                <w:rFonts w:ascii="宋体" w:hAnsi="宋体" w:cs="宋体"/>
                <w:color w:val="auto"/>
                <w:kern w:val="0"/>
                <w:sz w:val="20"/>
                <w:szCs w:val="21"/>
                <w:highlight w:val="none"/>
              </w:rPr>
            </w:pPr>
            <w:r>
              <w:rPr>
                <w:rFonts w:hint="eastAsia" w:hAnsi="宋体" w:cs="宋体"/>
                <w:bCs/>
                <w:color w:val="auto"/>
                <w:szCs w:val="21"/>
                <w:highlight w:val="none"/>
                <w:lang w:bidi="ar"/>
              </w:rPr>
              <w:t>“★”符号的条款</w:t>
            </w:r>
          </w:p>
        </w:tc>
        <w:tc>
          <w:tcPr>
            <w:tcW w:w="4689" w:type="dxa"/>
            <w:tcBorders>
              <w:top w:val="single" w:color="auto" w:sz="4" w:space="0"/>
              <w:left w:val="single" w:color="auto" w:sz="4" w:space="0"/>
              <w:bottom w:val="single" w:color="auto" w:sz="4" w:space="0"/>
              <w:right w:val="single" w:color="auto" w:sz="4" w:space="0"/>
            </w:tcBorders>
            <w:vAlign w:val="center"/>
          </w:tcPr>
          <w:p w14:paraId="25F7922B">
            <w:pPr>
              <w:snapToGrid w:val="0"/>
              <w:jc w:val="center"/>
              <w:rPr>
                <w:rFonts w:hAnsi="宋体" w:cs="宋体"/>
                <w:bCs/>
                <w:color w:val="auto"/>
                <w:szCs w:val="21"/>
                <w:highlight w:val="none"/>
                <w:lang w:bidi="ar"/>
              </w:rPr>
            </w:pPr>
            <w:r>
              <w:rPr>
                <w:rFonts w:hint="eastAsia" w:hAnsi="宋体" w:cs="宋体"/>
                <w:bCs/>
                <w:color w:val="auto"/>
                <w:szCs w:val="21"/>
                <w:highlight w:val="none"/>
                <w:lang w:bidi="ar"/>
              </w:rPr>
              <w:t>无负偏离标注“★”符号的条款</w:t>
            </w:r>
          </w:p>
        </w:tc>
        <w:tc>
          <w:tcPr>
            <w:tcW w:w="1134" w:type="dxa"/>
            <w:tcBorders>
              <w:top w:val="single" w:color="auto" w:sz="4" w:space="0"/>
              <w:left w:val="single" w:color="auto" w:sz="4" w:space="0"/>
              <w:bottom w:val="single" w:color="auto" w:sz="4" w:space="0"/>
              <w:right w:val="single" w:color="auto" w:sz="4" w:space="0"/>
            </w:tcBorders>
            <w:vAlign w:val="center"/>
          </w:tcPr>
          <w:p w14:paraId="3B791B5E">
            <w:pPr>
              <w:snapToGrid w:val="0"/>
              <w:jc w:val="center"/>
              <w:rPr>
                <w:rFonts w:ascii="宋体" w:hAnsi="宋体" w:cs="宋体"/>
                <w:color w:val="auto"/>
                <w:kern w:val="0"/>
                <w:sz w:val="20"/>
                <w:szCs w:val="21"/>
                <w:highlight w:val="none"/>
              </w:rPr>
            </w:pPr>
          </w:p>
        </w:tc>
      </w:tr>
      <w:tr w14:paraId="6587F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993" w:type="dxa"/>
            <w:tcBorders>
              <w:top w:val="single" w:color="auto" w:sz="4" w:space="0"/>
              <w:left w:val="single" w:color="auto" w:sz="4" w:space="0"/>
              <w:bottom w:val="single" w:color="auto" w:sz="4" w:space="0"/>
              <w:right w:val="single" w:color="auto" w:sz="4" w:space="0"/>
            </w:tcBorders>
            <w:vAlign w:val="center"/>
          </w:tcPr>
          <w:p w14:paraId="25A17548">
            <w:pPr>
              <w:snapToGrid w:val="0"/>
              <w:jc w:val="center"/>
              <w:rPr>
                <w:rFonts w:ascii="宋体" w:hAnsi="宋体" w:cs="宋体"/>
                <w:color w:val="auto"/>
                <w:szCs w:val="21"/>
                <w:highlight w:val="none"/>
              </w:rPr>
            </w:pPr>
            <w:r>
              <w:rPr>
                <w:rFonts w:hint="eastAsia" w:ascii="宋体" w:hAnsi="宋体" w:cs="宋体"/>
                <w:color w:val="auto"/>
                <w:szCs w:val="21"/>
                <w:highlight w:val="none"/>
              </w:rPr>
              <w:t>6</w:t>
            </w:r>
          </w:p>
        </w:tc>
        <w:tc>
          <w:tcPr>
            <w:tcW w:w="1973" w:type="dxa"/>
            <w:tcBorders>
              <w:top w:val="single" w:color="auto" w:sz="4" w:space="0"/>
              <w:left w:val="single" w:color="auto" w:sz="4" w:space="0"/>
              <w:bottom w:val="single" w:color="auto" w:sz="4" w:space="0"/>
              <w:right w:val="single" w:color="auto" w:sz="4" w:space="0"/>
            </w:tcBorders>
            <w:vAlign w:val="center"/>
          </w:tcPr>
          <w:p w14:paraId="73BCF068">
            <w:pPr>
              <w:snapToGrid w:val="0"/>
              <w:jc w:val="center"/>
              <w:rPr>
                <w:rFonts w:hAnsi="宋体" w:cs="宋体"/>
                <w:bCs/>
                <w:color w:val="auto"/>
                <w:szCs w:val="21"/>
                <w:highlight w:val="none"/>
                <w:lang w:bidi="ar"/>
              </w:rPr>
            </w:pPr>
            <w:r>
              <w:rPr>
                <w:rFonts w:hint="eastAsia" w:hAnsi="宋体" w:cs="宋体"/>
                <w:bCs/>
                <w:color w:val="auto"/>
                <w:szCs w:val="21"/>
                <w:highlight w:val="none"/>
                <w:lang w:bidi="ar"/>
              </w:rPr>
              <w:t>附加条件</w:t>
            </w:r>
          </w:p>
        </w:tc>
        <w:tc>
          <w:tcPr>
            <w:tcW w:w="4689" w:type="dxa"/>
            <w:tcBorders>
              <w:top w:val="single" w:color="auto" w:sz="4" w:space="0"/>
              <w:left w:val="single" w:color="auto" w:sz="4" w:space="0"/>
              <w:bottom w:val="single" w:color="auto" w:sz="4" w:space="0"/>
              <w:right w:val="single" w:color="auto" w:sz="4" w:space="0"/>
            </w:tcBorders>
            <w:vAlign w:val="center"/>
          </w:tcPr>
          <w:p w14:paraId="24534F94">
            <w:pPr>
              <w:snapToGrid w:val="0"/>
              <w:jc w:val="center"/>
              <w:rPr>
                <w:rFonts w:hAnsi="宋体" w:cs="宋体"/>
                <w:bCs/>
                <w:color w:val="auto"/>
                <w:szCs w:val="21"/>
                <w:highlight w:val="none"/>
                <w:lang w:bidi="ar"/>
              </w:rPr>
            </w:pPr>
            <w:r>
              <w:rPr>
                <w:rFonts w:hint="eastAsia" w:hAnsi="宋体" w:cs="宋体"/>
                <w:bCs/>
                <w:color w:val="auto"/>
                <w:szCs w:val="21"/>
                <w:highlight w:val="none"/>
                <w:lang w:bidi="ar"/>
              </w:rPr>
              <w:t>响应文件未含有采购人不能接受的附加条件的</w:t>
            </w:r>
          </w:p>
        </w:tc>
        <w:tc>
          <w:tcPr>
            <w:tcW w:w="1134" w:type="dxa"/>
            <w:tcBorders>
              <w:top w:val="single" w:color="auto" w:sz="4" w:space="0"/>
              <w:left w:val="single" w:color="auto" w:sz="4" w:space="0"/>
              <w:bottom w:val="single" w:color="auto" w:sz="4" w:space="0"/>
              <w:right w:val="single" w:color="auto" w:sz="4" w:space="0"/>
            </w:tcBorders>
            <w:vAlign w:val="center"/>
          </w:tcPr>
          <w:p w14:paraId="683FE719">
            <w:pPr>
              <w:snapToGrid w:val="0"/>
              <w:jc w:val="center"/>
              <w:rPr>
                <w:rFonts w:ascii="宋体" w:hAnsi="宋体" w:cs="宋体"/>
                <w:color w:val="auto"/>
                <w:kern w:val="0"/>
                <w:sz w:val="20"/>
                <w:szCs w:val="21"/>
                <w:highlight w:val="none"/>
              </w:rPr>
            </w:pPr>
          </w:p>
        </w:tc>
      </w:tr>
      <w:tr w14:paraId="076D0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993" w:type="dxa"/>
            <w:tcBorders>
              <w:top w:val="single" w:color="auto" w:sz="4" w:space="0"/>
              <w:left w:val="single" w:color="auto" w:sz="4" w:space="0"/>
              <w:bottom w:val="single" w:color="auto" w:sz="4" w:space="0"/>
              <w:right w:val="single" w:color="auto" w:sz="4" w:space="0"/>
            </w:tcBorders>
            <w:vAlign w:val="center"/>
          </w:tcPr>
          <w:p w14:paraId="1EC11AAA">
            <w:pPr>
              <w:snapToGrid w:val="0"/>
              <w:jc w:val="center"/>
              <w:rPr>
                <w:rFonts w:ascii="宋体" w:hAnsi="宋体" w:cs="宋体"/>
                <w:color w:val="auto"/>
                <w:szCs w:val="21"/>
                <w:highlight w:val="none"/>
              </w:rPr>
            </w:pPr>
            <w:r>
              <w:rPr>
                <w:rFonts w:hint="eastAsia" w:ascii="宋体" w:hAnsi="宋体" w:cs="宋体"/>
                <w:color w:val="auto"/>
                <w:szCs w:val="21"/>
                <w:highlight w:val="none"/>
              </w:rPr>
              <w:t>7</w:t>
            </w:r>
          </w:p>
        </w:tc>
        <w:tc>
          <w:tcPr>
            <w:tcW w:w="1973" w:type="dxa"/>
            <w:tcBorders>
              <w:top w:val="single" w:color="auto" w:sz="4" w:space="0"/>
              <w:left w:val="single" w:color="auto" w:sz="4" w:space="0"/>
              <w:bottom w:val="single" w:color="auto" w:sz="4" w:space="0"/>
              <w:right w:val="single" w:color="auto" w:sz="4" w:space="0"/>
            </w:tcBorders>
            <w:vAlign w:val="center"/>
          </w:tcPr>
          <w:p w14:paraId="5F605B4A">
            <w:pPr>
              <w:snapToGrid w:val="0"/>
              <w:jc w:val="center"/>
              <w:rPr>
                <w:rFonts w:ascii="宋体" w:hAnsi="宋体" w:cs="宋体"/>
                <w:color w:val="auto"/>
                <w:kern w:val="0"/>
                <w:sz w:val="20"/>
                <w:szCs w:val="21"/>
                <w:highlight w:val="none"/>
              </w:rPr>
            </w:pPr>
            <w:r>
              <w:rPr>
                <w:rFonts w:hint="eastAsia" w:ascii="宋体" w:hAnsi="宋体" w:cs="宋体"/>
                <w:color w:val="auto"/>
                <w:kern w:val="0"/>
                <w:sz w:val="20"/>
                <w:szCs w:val="21"/>
                <w:highlight w:val="none"/>
              </w:rPr>
              <w:t>其他</w:t>
            </w:r>
          </w:p>
        </w:tc>
        <w:tc>
          <w:tcPr>
            <w:tcW w:w="4689" w:type="dxa"/>
            <w:tcBorders>
              <w:top w:val="single" w:color="auto" w:sz="4" w:space="0"/>
              <w:left w:val="single" w:color="auto" w:sz="4" w:space="0"/>
              <w:bottom w:val="single" w:color="auto" w:sz="4" w:space="0"/>
              <w:right w:val="single" w:color="auto" w:sz="4" w:space="0"/>
            </w:tcBorders>
            <w:vAlign w:val="center"/>
          </w:tcPr>
          <w:p w14:paraId="7B9D1E98">
            <w:pPr>
              <w:snapToGrid w:val="0"/>
              <w:jc w:val="center"/>
              <w:rPr>
                <w:rFonts w:hAnsi="宋体" w:cs="宋体"/>
                <w:bCs/>
                <w:color w:val="auto"/>
                <w:szCs w:val="21"/>
                <w:highlight w:val="none"/>
                <w:lang w:bidi="ar"/>
              </w:rPr>
            </w:pPr>
            <w:r>
              <w:rPr>
                <w:rFonts w:hint="eastAsia" w:hAnsi="宋体" w:cs="宋体"/>
                <w:color w:val="auto"/>
                <w:szCs w:val="21"/>
                <w:highlight w:val="none"/>
              </w:rPr>
              <w:t>未出现</w:t>
            </w:r>
            <w:r>
              <w:rPr>
                <w:rFonts w:hint="eastAsia" w:hAnsi="宋体" w:cs="宋体"/>
                <w:bCs/>
                <w:color w:val="auto"/>
                <w:szCs w:val="21"/>
                <w:highlight w:val="none"/>
                <w:lang w:bidi="ar"/>
              </w:rPr>
              <w:t>法律、法规和竞争性谈判文件规定的其他无效情形。</w:t>
            </w:r>
          </w:p>
        </w:tc>
        <w:tc>
          <w:tcPr>
            <w:tcW w:w="1134" w:type="dxa"/>
            <w:tcBorders>
              <w:top w:val="single" w:color="auto" w:sz="4" w:space="0"/>
              <w:left w:val="single" w:color="auto" w:sz="4" w:space="0"/>
              <w:bottom w:val="single" w:color="auto" w:sz="4" w:space="0"/>
              <w:right w:val="single" w:color="auto" w:sz="4" w:space="0"/>
            </w:tcBorders>
            <w:vAlign w:val="center"/>
          </w:tcPr>
          <w:p w14:paraId="1B203090">
            <w:pPr>
              <w:snapToGrid w:val="0"/>
              <w:jc w:val="center"/>
              <w:rPr>
                <w:rFonts w:ascii="宋体" w:hAnsi="宋体" w:cs="宋体"/>
                <w:color w:val="auto"/>
                <w:kern w:val="0"/>
                <w:sz w:val="20"/>
                <w:szCs w:val="21"/>
                <w:highlight w:val="none"/>
              </w:rPr>
            </w:pPr>
          </w:p>
        </w:tc>
      </w:tr>
      <w:tr w14:paraId="4D7F0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993" w:type="dxa"/>
            <w:tcBorders>
              <w:top w:val="single" w:color="auto" w:sz="4" w:space="0"/>
              <w:left w:val="single" w:color="auto" w:sz="4" w:space="0"/>
              <w:bottom w:val="single" w:color="auto" w:sz="4" w:space="0"/>
              <w:right w:val="single" w:color="auto" w:sz="4" w:space="0"/>
            </w:tcBorders>
            <w:vAlign w:val="center"/>
          </w:tcPr>
          <w:p w14:paraId="14430FE2">
            <w:pPr>
              <w:snapToGrid w:val="0"/>
              <w:jc w:val="center"/>
              <w:rPr>
                <w:rFonts w:ascii="宋体" w:hAnsi="宋体" w:cs="宋体"/>
                <w:color w:val="auto"/>
                <w:szCs w:val="21"/>
                <w:highlight w:val="none"/>
              </w:rPr>
            </w:pPr>
            <w:r>
              <w:rPr>
                <w:rFonts w:hint="eastAsia" w:ascii="宋体" w:hAnsi="宋体" w:cs="宋体"/>
                <w:color w:val="auto"/>
                <w:szCs w:val="21"/>
                <w:highlight w:val="none"/>
              </w:rPr>
              <w:t>8</w:t>
            </w:r>
          </w:p>
        </w:tc>
        <w:tc>
          <w:tcPr>
            <w:tcW w:w="1973" w:type="dxa"/>
            <w:tcBorders>
              <w:top w:val="single" w:color="auto" w:sz="4" w:space="0"/>
              <w:left w:val="single" w:color="auto" w:sz="4" w:space="0"/>
              <w:bottom w:val="single" w:color="auto" w:sz="4" w:space="0"/>
              <w:right w:val="single" w:color="auto" w:sz="4" w:space="0"/>
            </w:tcBorders>
            <w:vAlign w:val="center"/>
          </w:tcPr>
          <w:p w14:paraId="4A06E416">
            <w:pPr>
              <w:snapToGrid w:val="0"/>
              <w:jc w:val="center"/>
              <w:rPr>
                <w:rFonts w:ascii="宋体" w:hAnsi="宋体" w:cs="宋体"/>
                <w:color w:val="auto"/>
                <w:kern w:val="0"/>
                <w:sz w:val="20"/>
                <w:szCs w:val="21"/>
                <w:highlight w:val="none"/>
              </w:rPr>
            </w:pPr>
          </w:p>
        </w:tc>
        <w:tc>
          <w:tcPr>
            <w:tcW w:w="4689" w:type="dxa"/>
            <w:tcBorders>
              <w:top w:val="single" w:color="auto" w:sz="4" w:space="0"/>
              <w:left w:val="single" w:color="auto" w:sz="4" w:space="0"/>
              <w:bottom w:val="single" w:color="auto" w:sz="4" w:space="0"/>
              <w:right w:val="single" w:color="auto" w:sz="4" w:space="0"/>
            </w:tcBorders>
            <w:vAlign w:val="center"/>
          </w:tcPr>
          <w:p w14:paraId="15B62D42">
            <w:pPr>
              <w:snapToGrid w:val="0"/>
              <w:jc w:val="center"/>
              <w:rPr>
                <w:rFonts w:hAnsi="宋体" w:cs="宋体"/>
                <w:color w:val="auto"/>
                <w:szCs w:val="21"/>
                <w:highlight w:val="none"/>
              </w:rPr>
            </w:pPr>
            <w:r>
              <w:rPr>
                <w:rFonts w:hint="eastAsia" w:hAnsi="宋体" w:cs="宋体"/>
                <w:color w:val="auto"/>
                <w:szCs w:val="21"/>
                <w:highlight w:val="none"/>
              </w:rPr>
              <w:t>……</w:t>
            </w:r>
          </w:p>
        </w:tc>
        <w:tc>
          <w:tcPr>
            <w:tcW w:w="1134" w:type="dxa"/>
            <w:tcBorders>
              <w:top w:val="single" w:color="auto" w:sz="4" w:space="0"/>
              <w:left w:val="single" w:color="auto" w:sz="4" w:space="0"/>
              <w:bottom w:val="single" w:color="auto" w:sz="4" w:space="0"/>
              <w:right w:val="single" w:color="auto" w:sz="4" w:space="0"/>
            </w:tcBorders>
            <w:vAlign w:val="center"/>
          </w:tcPr>
          <w:p w14:paraId="51734652">
            <w:pPr>
              <w:snapToGrid w:val="0"/>
              <w:jc w:val="center"/>
              <w:rPr>
                <w:rFonts w:ascii="宋体" w:hAnsi="宋体" w:cs="宋体"/>
                <w:color w:val="auto"/>
                <w:kern w:val="0"/>
                <w:sz w:val="20"/>
                <w:szCs w:val="21"/>
                <w:highlight w:val="none"/>
              </w:rPr>
            </w:pPr>
          </w:p>
        </w:tc>
      </w:tr>
      <w:tr w14:paraId="58E7C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2966" w:type="dxa"/>
            <w:gridSpan w:val="2"/>
            <w:tcBorders>
              <w:top w:val="single" w:color="auto" w:sz="4" w:space="0"/>
              <w:left w:val="single" w:color="auto" w:sz="4" w:space="0"/>
              <w:bottom w:val="single" w:color="auto" w:sz="4" w:space="0"/>
              <w:right w:val="single" w:color="auto" w:sz="4" w:space="0"/>
            </w:tcBorders>
            <w:vAlign w:val="center"/>
          </w:tcPr>
          <w:p w14:paraId="752F284E">
            <w:pPr>
              <w:widowControl/>
              <w:jc w:val="center"/>
              <w:rPr>
                <w:color w:val="auto"/>
                <w:szCs w:val="21"/>
                <w:highlight w:val="none"/>
              </w:rPr>
            </w:pPr>
            <w:r>
              <w:rPr>
                <w:rFonts w:hint="eastAsia" w:ascii="宋体" w:hAnsi="宋体" w:cs="宋体"/>
                <w:color w:val="auto"/>
                <w:kern w:val="0"/>
                <w:szCs w:val="21"/>
                <w:highlight w:val="none"/>
              </w:rPr>
              <w:t>成交候选人推荐原则</w:t>
            </w:r>
          </w:p>
        </w:tc>
        <w:tc>
          <w:tcPr>
            <w:tcW w:w="5823" w:type="dxa"/>
            <w:gridSpan w:val="2"/>
            <w:tcBorders>
              <w:top w:val="single" w:color="auto" w:sz="4" w:space="0"/>
              <w:left w:val="single" w:color="auto" w:sz="4" w:space="0"/>
              <w:bottom w:val="single" w:color="auto" w:sz="4" w:space="0"/>
              <w:right w:val="single" w:color="auto" w:sz="4" w:space="0"/>
            </w:tcBorders>
          </w:tcPr>
          <w:p w14:paraId="530410C3">
            <w:pPr>
              <w:widowControl/>
              <w:jc w:val="left"/>
              <w:rPr>
                <w:rFonts w:ascii="宋体" w:hAnsi="宋体" w:cs="宋体"/>
                <w:color w:val="auto"/>
                <w:kern w:val="0"/>
                <w:highlight w:val="none"/>
              </w:rPr>
            </w:pPr>
            <w:r>
              <w:rPr>
                <w:rFonts w:hint="eastAsia" w:ascii="宋体" w:hAnsi="宋体" w:cs="宋体"/>
                <w:color w:val="auto"/>
                <w:kern w:val="0"/>
                <w:highlight w:val="none"/>
              </w:rPr>
              <w:t>本项目</w:t>
            </w:r>
            <w:r>
              <w:rPr>
                <w:rFonts w:hint="eastAsia" w:ascii="宋体" w:hAnsi="宋体" w:cs="宋体"/>
                <w:color w:val="auto"/>
                <w:kern w:val="0"/>
                <w:highlight w:val="none"/>
                <w:lang w:val="en-US" w:eastAsia="zh-CN"/>
              </w:rPr>
              <w:t>每标包各</w:t>
            </w:r>
            <w:r>
              <w:rPr>
                <w:rFonts w:hint="eastAsia" w:ascii="宋体" w:hAnsi="宋体" w:cs="宋体"/>
                <w:color w:val="auto"/>
                <w:kern w:val="0"/>
                <w:highlight w:val="none"/>
              </w:rPr>
              <w:t>推荐</w:t>
            </w:r>
            <w:r>
              <w:rPr>
                <w:rFonts w:hint="eastAsia" w:ascii="宋体" w:hAnsi="宋体" w:cs="宋体"/>
                <w:color w:val="auto"/>
                <w:kern w:val="0"/>
                <w:highlight w:val="none"/>
                <w:lang w:val="en-US" w:eastAsia="zh-CN"/>
              </w:rPr>
              <w:t>一</w:t>
            </w:r>
            <w:r>
              <w:rPr>
                <w:rFonts w:hint="eastAsia" w:ascii="宋体" w:hAnsi="宋体" w:cs="宋体"/>
                <w:color w:val="auto"/>
                <w:kern w:val="0"/>
                <w:highlight w:val="none"/>
              </w:rPr>
              <w:t>名</w:t>
            </w:r>
            <w:r>
              <w:rPr>
                <w:rFonts w:hint="eastAsia" w:ascii="宋体" w:hAnsi="宋体" w:cs="宋体"/>
                <w:color w:val="auto"/>
                <w:kern w:val="0"/>
                <w:highlight w:val="none"/>
                <w:lang w:val="en-US" w:eastAsia="zh-CN"/>
              </w:rPr>
              <w:t>或以上</w:t>
            </w:r>
            <w:r>
              <w:rPr>
                <w:rFonts w:hint="eastAsia" w:ascii="宋体" w:hAnsi="宋体" w:cs="宋体"/>
                <w:color w:val="auto"/>
                <w:kern w:val="0"/>
                <w:highlight w:val="none"/>
              </w:rPr>
              <w:t>成交候选人。</w:t>
            </w:r>
            <w:r>
              <w:rPr>
                <w:rFonts w:hint="eastAsia"/>
                <w:color w:val="auto"/>
                <w:szCs w:val="21"/>
                <w:highlight w:val="none"/>
              </w:rPr>
              <w:t>根据符合采购需求、质量和服务且报价最低的原则按顺序排列推荐成交侯选人</w:t>
            </w:r>
            <w:r>
              <w:rPr>
                <w:rFonts w:hint="eastAsia" w:ascii="宋体" w:hAnsi="宋体" w:cs="宋体"/>
                <w:color w:val="auto"/>
                <w:kern w:val="0"/>
                <w:highlight w:val="none"/>
              </w:rPr>
              <w:t>。如最低投标报价相同，由谈判小组按技术指标优劣顺序排列。如果无法进行合理排序，则采用现场随机抽签方式确定。</w:t>
            </w:r>
          </w:p>
        </w:tc>
      </w:tr>
    </w:tbl>
    <w:p w14:paraId="387673AA">
      <w:pPr>
        <w:pStyle w:val="7"/>
        <w:rPr>
          <w:rFonts w:ascii="黑体" w:hAnsi="黑体" w:eastAsia="黑体"/>
          <w:color w:val="auto"/>
          <w:sz w:val="28"/>
          <w:szCs w:val="28"/>
          <w:highlight w:val="none"/>
        </w:rPr>
      </w:pPr>
      <w:bookmarkStart w:id="122" w:name="_Toc5"/>
      <w:r>
        <w:rPr>
          <w:rFonts w:hint="eastAsia" w:ascii="黑体" w:hAnsi="黑体" w:eastAsia="黑体"/>
          <w:color w:val="auto"/>
          <w:sz w:val="28"/>
          <w:szCs w:val="28"/>
          <w:highlight w:val="none"/>
        </w:rPr>
        <w:t>1．评审方法</w:t>
      </w:r>
      <w:bookmarkEnd w:id="122"/>
    </w:p>
    <w:p w14:paraId="682EA3FB">
      <w:pPr>
        <w:spacing w:line="360" w:lineRule="auto"/>
        <w:ind w:firstLine="420" w:firstLineChars="200"/>
        <w:rPr>
          <w:rFonts w:hint="eastAsia" w:ascii="宋体" w:hAnsi="宋体" w:cs="宋体"/>
          <w:color w:val="auto"/>
          <w:kern w:val="0"/>
          <w:highlight w:val="none"/>
        </w:rPr>
      </w:pPr>
      <w:r>
        <w:rPr>
          <w:rFonts w:hint="eastAsia" w:ascii="宋体" w:hAnsi="宋体"/>
          <w:color w:val="auto"/>
          <w:szCs w:val="21"/>
          <w:highlight w:val="none"/>
        </w:rPr>
        <w:t>本次评审采用最低评标价法。谈判小组对满足竞争性谈判文件实质性要求的响应文件，</w:t>
      </w:r>
      <w:r>
        <w:rPr>
          <w:rFonts w:hint="eastAsia"/>
          <w:color w:val="auto"/>
          <w:szCs w:val="21"/>
          <w:highlight w:val="none"/>
        </w:rPr>
        <w:t>根据符合采购需求、质量和服务且报价最低的原则按顺序排列推荐成交</w:t>
      </w:r>
      <w:r>
        <w:rPr>
          <w:rFonts w:hint="eastAsia"/>
          <w:color w:val="auto"/>
          <w:szCs w:val="21"/>
          <w:highlight w:val="none"/>
          <w:lang w:eastAsia="zh-CN"/>
        </w:rPr>
        <w:t>候选人</w:t>
      </w:r>
      <w:r>
        <w:rPr>
          <w:rFonts w:hint="eastAsia"/>
          <w:color w:val="auto"/>
          <w:szCs w:val="21"/>
          <w:highlight w:val="none"/>
        </w:rPr>
        <w:t>。</w:t>
      </w:r>
      <w:r>
        <w:rPr>
          <w:rFonts w:hint="eastAsia" w:ascii="宋体" w:hAnsi="宋体" w:cs="宋体"/>
          <w:color w:val="auto"/>
          <w:kern w:val="0"/>
          <w:highlight w:val="none"/>
        </w:rPr>
        <w:t>如最低投标报价相同，由谈判小组按技术指标优劣顺序排列。如果无法进行合理排序，则采用现场随机抽签方式确定。</w:t>
      </w:r>
    </w:p>
    <w:p w14:paraId="6DE71BD4">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rPr>
        <w:t>经</w:t>
      </w:r>
      <w:r>
        <w:rPr>
          <w:rFonts w:hint="eastAsia" w:ascii="宋体" w:hAnsi="宋体"/>
          <w:color w:val="auto"/>
          <w:szCs w:val="21"/>
          <w:highlight w:val="none"/>
          <w:lang w:val="en-US" w:eastAsia="zh-CN"/>
        </w:rPr>
        <w:t>谈判小组</w:t>
      </w:r>
      <w:r>
        <w:rPr>
          <w:rFonts w:hint="eastAsia" w:ascii="宋体" w:hAnsi="宋体"/>
          <w:color w:val="auto"/>
          <w:szCs w:val="21"/>
          <w:highlight w:val="none"/>
        </w:rPr>
        <w:t>资格性、符合性审查确认具有有效</w:t>
      </w:r>
      <w:r>
        <w:rPr>
          <w:rFonts w:hint="eastAsia" w:ascii="宋体" w:hAnsi="宋体"/>
          <w:color w:val="auto"/>
          <w:szCs w:val="21"/>
          <w:highlight w:val="none"/>
          <w:lang w:val="en-US" w:eastAsia="zh-CN"/>
        </w:rPr>
        <w:t>响应</w:t>
      </w:r>
      <w:r>
        <w:rPr>
          <w:rFonts w:hint="eastAsia" w:ascii="宋体" w:hAnsi="宋体"/>
          <w:color w:val="auto"/>
          <w:szCs w:val="21"/>
          <w:highlight w:val="none"/>
        </w:rPr>
        <w:t>文件的</w:t>
      </w:r>
      <w:r>
        <w:rPr>
          <w:rFonts w:hint="eastAsia" w:ascii="宋体" w:hAnsi="宋体"/>
          <w:color w:val="auto"/>
          <w:szCs w:val="21"/>
          <w:highlight w:val="none"/>
          <w:lang w:val="en-US" w:eastAsia="zh-CN"/>
        </w:rPr>
        <w:t>响应人</w:t>
      </w:r>
      <w:r>
        <w:rPr>
          <w:rFonts w:hint="eastAsia" w:ascii="宋体" w:hAnsi="宋体"/>
          <w:color w:val="auto"/>
          <w:szCs w:val="21"/>
          <w:highlight w:val="none"/>
        </w:rPr>
        <w:t>不足三家时：将重新组织采购</w:t>
      </w:r>
      <w:r>
        <w:rPr>
          <w:rFonts w:hint="eastAsia" w:ascii="宋体" w:hAnsi="宋体"/>
          <w:color w:val="auto"/>
          <w:szCs w:val="21"/>
          <w:highlight w:val="none"/>
          <w:lang w:eastAsia="zh-CN"/>
        </w:rPr>
        <w:t>。</w:t>
      </w:r>
    </w:p>
    <w:p w14:paraId="09D8A534">
      <w:pPr>
        <w:spacing w:line="360" w:lineRule="auto"/>
        <w:ind w:firstLine="420" w:firstLineChars="200"/>
        <w:rPr>
          <w:rFonts w:hint="eastAsia" w:ascii="宋体" w:hAnsi="宋体"/>
          <w:color w:val="auto"/>
          <w:szCs w:val="21"/>
          <w:highlight w:val="none"/>
        </w:rPr>
      </w:pPr>
      <w:r>
        <w:rPr>
          <w:rFonts w:hint="eastAsia" w:ascii="宋体" w:hAnsi="宋体"/>
          <w:b w:val="0"/>
          <w:bCs w:val="0"/>
          <w:color w:val="auto"/>
          <w:szCs w:val="21"/>
          <w:highlight w:val="none"/>
        </w:rPr>
        <w:t>若具有有效</w:t>
      </w:r>
      <w:r>
        <w:rPr>
          <w:rFonts w:hint="eastAsia" w:ascii="宋体" w:hAnsi="宋体"/>
          <w:b w:val="0"/>
          <w:bCs w:val="0"/>
          <w:color w:val="auto"/>
          <w:szCs w:val="21"/>
          <w:highlight w:val="none"/>
          <w:lang w:val="en-US" w:eastAsia="zh-CN"/>
        </w:rPr>
        <w:t>响应</w:t>
      </w:r>
      <w:r>
        <w:rPr>
          <w:rFonts w:hint="eastAsia" w:ascii="宋体" w:hAnsi="宋体"/>
          <w:b w:val="0"/>
          <w:bCs w:val="0"/>
          <w:color w:val="auto"/>
          <w:szCs w:val="21"/>
          <w:highlight w:val="none"/>
        </w:rPr>
        <w:t>文件的</w:t>
      </w:r>
      <w:r>
        <w:rPr>
          <w:rFonts w:hint="eastAsia" w:ascii="宋体" w:hAnsi="宋体"/>
          <w:b w:val="0"/>
          <w:bCs w:val="0"/>
          <w:color w:val="auto"/>
          <w:szCs w:val="21"/>
          <w:highlight w:val="none"/>
          <w:lang w:val="en-US" w:eastAsia="zh-CN"/>
        </w:rPr>
        <w:t>响应</w:t>
      </w:r>
      <w:r>
        <w:rPr>
          <w:rFonts w:hint="eastAsia" w:ascii="宋体" w:hAnsi="宋体"/>
          <w:b w:val="0"/>
          <w:bCs w:val="0"/>
          <w:color w:val="auto"/>
          <w:szCs w:val="21"/>
          <w:highlight w:val="none"/>
        </w:rPr>
        <w:t>人最终报价逾时不交的，视为自动放弃评审资格</w:t>
      </w:r>
      <w:r>
        <w:rPr>
          <w:rFonts w:hint="eastAsia" w:ascii="宋体" w:hAnsi="宋体"/>
          <w:color w:val="auto"/>
          <w:szCs w:val="21"/>
          <w:highlight w:val="none"/>
        </w:rPr>
        <w:t>，</w:t>
      </w:r>
      <w:r>
        <w:rPr>
          <w:rFonts w:hint="eastAsia" w:ascii="宋体" w:hAnsi="宋体"/>
          <w:color w:val="auto"/>
          <w:szCs w:val="21"/>
          <w:highlight w:val="none"/>
          <w:lang w:val="en-US" w:eastAsia="zh-CN"/>
        </w:rPr>
        <w:t>响应</w:t>
      </w:r>
      <w:r>
        <w:rPr>
          <w:rFonts w:hint="eastAsia" w:ascii="宋体" w:hAnsi="宋体"/>
          <w:color w:val="auto"/>
          <w:szCs w:val="21"/>
          <w:highlight w:val="none"/>
        </w:rPr>
        <w:t>文件不予退还。</w:t>
      </w:r>
    </w:p>
    <w:p w14:paraId="72558DF5">
      <w:pPr>
        <w:pStyle w:val="7"/>
        <w:rPr>
          <w:rFonts w:ascii="黑体" w:hAnsi="黑体" w:eastAsia="黑体"/>
          <w:color w:val="auto"/>
          <w:sz w:val="28"/>
          <w:szCs w:val="28"/>
          <w:highlight w:val="none"/>
        </w:rPr>
      </w:pPr>
      <w:bookmarkStart w:id="123" w:name="_Toc27147"/>
      <w:r>
        <w:rPr>
          <w:rFonts w:hint="eastAsia" w:ascii="黑体" w:hAnsi="黑体" w:eastAsia="黑体"/>
          <w:color w:val="auto"/>
          <w:sz w:val="28"/>
          <w:szCs w:val="28"/>
          <w:highlight w:val="none"/>
        </w:rPr>
        <w:t>2．评审标准</w:t>
      </w:r>
      <w:bookmarkEnd w:id="123"/>
    </w:p>
    <w:p w14:paraId="138FA8E0">
      <w:pPr>
        <w:spacing w:line="360" w:lineRule="auto"/>
        <w:ind w:firstLine="420" w:firstLineChars="200"/>
        <w:rPr>
          <w:rFonts w:ascii="宋体" w:hAnsi="宋体"/>
          <w:color w:val="auto"/>
          <w:szCs w:val="21"/>
          <w:highlight w:val="none"/>
        </w:rPr>
      </w:pPr>
      <w:r>
        <w:rPr>
          <w:rFonts w:hint="eastAsia"/>
          <w:color w:val="auto"/>
          <w:highlight w:val="none"/>
        </w:rPr>
        <w:t>评审标准：</w:t>
      </w:r>
      <w:r>
        <w:rPr>
          <w:rFonts w:hint="eastAsia" w:ascii="宋体" w:hAnsi="宋体"/>
          <w:color w:val="auto"/>
          <w:szCs w:val="21"/>
          <w:highlight w:val="none"/>
        </w:rPr>
        <w:t>见评审办法前附表。</w:t>
      </w:r>
    </w:p>
    <w:p w14:paraId="3E781717">
      <w:pPr>
        <w:pStyle w:val="7"/>
        <w:rPr>
          <w:rFonts w:ascii="黑体" w:hAnsi="黑体" w:eastAsia="黑体"/>
          <w:color w:val="auto"/>
          <w:sz w:val="28"/>
          <w:szCs w:val="28"/>
          <w:highlight w:val="none"/>
        </w:rPr>
      </w:pPr>
      <w:bookmarkStart w:id="124" w:name="_Toc9990"/>
      <w:r>
        <w:rPr>
          <w:rFonts w:hint="eastAsia" w:ascii="黑体" w:hAnsi="黑体" w:eastAsia="黑体"/>
          <w:color w:val="auto"/>
          <w:sz w:val="28"/>
          <w:szCs w:val="28"/>
          <w:highlight w:val="none"/>
        </w:rPr>
        <w:t>3．评审程序</w:t>
      </w:r>
      <w:bookmarkEnd w:id="124"/>
    </w:p>
    <w:p w14:paraId="16C64735">
      <w:pPr>
        <w:pStyle w:val="8"/>
        <w:rPr>
          <w:color w:val="auto"/>
          <w:highlight w:val="none"/>
        </w:rPr>
      </w:pPr>
      <w:r>
        <w:rPr>
          <w:rFonts w:hint="eastAsia"/>
          <w:color w:val="auto"/>
          <w:highlight w:val="none"/>
        </w:rPr>
        <w:t>3.1 初步评审</w:t>
      </w:r>
    </w:p>
    <w:p w14:paraId="3D93FFA1">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3.1.1</w:t>
      </w:r>
      <w:r>
        <w:rPr>
          <w:rFonts w:hint="eastAsia" w:ascii="宋体" w:hAnsi="宋体"/>
          <w:color w:val="auto"/>
          <w:szCs w:val="21"/>
          <w:highlight w:val="none"/>
        </w:rPr>
        <w:t>谈判小组根据评审办法前附表规定的标准对响应文件进行评审。有一项不符合评审标准的，</w:t>
      </w:r>
      <w:r>
        <w:rPr>
          <w:rFonts w:hint="eastAsia"/>
          <w:color w:val="auto"/>
          <w:highlight w:val="none"/>
        </w:rPr>
        <w:t>谈判小组应当否决其竞争性谈判。</w:t>
      </w:r>
      <w:r>
        <w:rPr>
          <w:rFonts w:hint="eastAsia" w:ascii="宋体" w:hAnsi="宋体"/>
          <w:b/>
          <w:color w:val="auto"/>
          <w:szCs w:val="21"/>
          <w:highlight w:val="none"/>
        </w:rPr>
        <w:t xml:space="preserve"> </w:t>
      </w:r>
    </w:p>
    <w:p w14:paraId="5DB17FCE">
      <w:pPr>
        <w:spacing w:line="360" w:lineRule="auto"/>
        <w:ind w:firstLine="422" w:firstLineChars="200"/>
        <w:rPr>
          <w:rFonts w:ascii="宋体" w:hAnsi="宋体"/>
          <w:color w:val="auto"/>
          <w:szCs w:val="21"/>
          <w:highlight w:val="none"/>
        </w:rPr>
      </w:pPr>
      <w:r>
        <w:rPr>
          <w:rFonts w:hint="eastAsia" w:ascii="宋体" w:hAnsi="宋体"/>
          <w:b/>
          <w:color w:val="auto"/>
          <w:szCs w:val="21"/>
          <w:highlight w:val="none"/>
        </w:rPr>
        <w:t>3.1.2</w:t>
      </w:r>
      <w:r>
        <w:rPr>
          <w:rFonts w:hint="eastAsia" w:ascii="宋体" w:hAnsi="宋体"/>
          <w:color w:val="auto"/>
          <w:szCs w:val="21"/>
          <w:highlight w:val="none"/>
        </w:rPr>
        <w:t xml:space="preserve">谈判小组可以要求响应人对响应文件中含义不明确、对同类问题表述不一致或者有明显文字、计算错误的内容做必要的澄清、说明、修正或补充。澄清、说明、修正或补充应当采用书面形式，并不得超出响应文件的范围或者改变响应文件的实质内容。响应文件不响应竞争性谈判文件的实质性要求和条件的，不允许响应人通过澄清等方式使之成为具有响应性的竞争性谈判。 </w:t>
      </w:r>
    </w:p>
    <w:p w14:paraId="39A78263">
      <w:pPr>
        <w:spacing w:line="360" w:lineRule="auto"/>
        <w:ind w:firstLine="422" w:firstLineChars="200"/>
        <w:rPr>
          <w:rFonts w:ascii="宋体" w:hAnsi="宋体"/>
          <w:color w:val="auto"/>
          <w:szCs w:val="21"/>
          <w:highlight w:val="none"/>
        </w:rPr>
      </w:pPr>
      <w:r>
        <w:rPr>
          <w:rFonts w:hint="eastAsia" w:ascii="宋体" w:hAnsi="宋体"/>
          <w:b/>
          <w:color w:val="auto"/>
          <w:szCs w:val="21"/>
          <w:highlight w:val="none"/>
        </w:rPr>
        <w:t>3.1.3</w:t>
      </w:r>
      <w:r>
        <w:rPr>
          <w:rFonts w:hint="eastAsia" w:ascii="宋体" w:hAnsi="宋体"/>
          <w:color w:val="auto"/>
          <w:szCs w:val="21"/>
          <w:highlight w:val="none"/>
        </w:rPr>
        <w:t>谈判小组不得向响应人提出带有暗示性或诱导性的问题或向其明确响应文件中的遗漏和错误，不得接受响应人主动提出的澄清、说明、修正和补充。</w:t>
      </w:r>
    </w:p>
    <w:p w14:paraId="20003F5E">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3.1.</w:t>
      </w:r>
      <w:r>
        <w:rPr>
          <w:rFonts w:ascii="宋体" w:hAnsi="宋体"/>
          <w:b/>
          <w:color w:val="auto"/>
          <w:szCs w:val="21"/>
          <w:highlight w:val="none"/>
        </w:rPr>
        <w:t>4</w:t>
      </w:r>
      <w:r>
        <w:rPr>
          <w:rFonts w:hint="eastAsia" w:ascii="宋体" w:hAnsi="宋体"/>
          <w:b/>
          <w:color w:val="auto"/>
          <w:szCs w:val="21"/>
          <w:highlight w:val="none"/>
        </w:rPr>
        <w:t xml:space="preserve"> 响应人有以下情形之一的，</w:t>
      </w:r>
      <w:r>
        <w:rPr>
          <w:rFonts w:hint="eastAsia"/>
          <w:b/>
          <w:color w:val="auto"/>
          <w:highlight w:val="none"/>
        </w:rPr>
        <w:t>谈判小组应当否决其竞争性谈判</w:t>
      </w:r>
      <w:r>
        <w:rPr>
          <w:rFonts w:hint="eastAsia" w:ascii="宋体" w:hAnsi="宋体"/>
          <w:b/>
          <w:color w:val="auto"/>
          <w:szCs w:val="21"/>
          <w:highlight w:val="none"/>
        </w:rPr>
        <w:t>：</w:t>
      </w:r>
    </w:p>
    <w:p w14:paraId="58F16560">
      <w:pPr>
        <w:widowControl/>
        <w:numPr>
          <w:ilvl w:val="0"/>
          <w:numId w:val="8"/>
        </w:numPr>
        <w:spacing w:after="109" w:line="259" w:lineRule="auto"/>
        <w:jc w:val="left"/>
        <w:rPr>
          <w:b/>
          <w:color w:val="auto"/>
          <w:highlight w:val="none"/>
        </w:rPr>
      </w:pPr>
      <w:r>
        <w:rPr>
          <w:b/>
          <w:color w:val="auto"/>
          <w:highlight w:val="none"/>
        </w:rPr>
        <w:t>响应文件中无法定代表人</w:t>
      </w:r>
      <w:r>
        <w:rPr>
          <w:rFonts w:hint="eastAsia"/>
          <w:b/>
          <w:color w:val="auto"/>
          <w:highlight w:val="none"/>
        </w:rPr>
        <w:t>证明书及其</w:t>
      </w:r>
      <w:r>
        <w:rPr>
          <w:b/>
          <w:color w:val="auto"/>
          <w:highlight w:val="none"/>
        </w:rPr>
        <w:t xml:space="preserve">出具的授权委托书的； </w:t>
      </w:r>
    </w:p>
    <w:p w14:paraId="0151BEF7">
      <w:pPr>
        <w:widowControl/>
        <w:numPr>
          <w:ilvl w:val="0"/>
          <w:numId w:val="8"/>
        </w:numPr>
        <w:spacing w:after="109" w:line="259" w:lineRule="auto"/>
        <w:jc w:val="left"/>
        <w:rPr>
          <w:b/>
          <w:color w:val="auto"/>
          <w:highlight w:val="none"/>
        </w:rPr>
      </w:pPr>
      <w:r>
        <w:rPr>
          <w:rFonts w:hint="eastAsia"/>
          <w:b/>
          <w:color w:val="auto"/>
          <w:highlight w:val="none"/>
        </w:rPr>
        <w:t>未按竞争性谈判文件规定加盖公章和签署；</w:t>
      </w:r>
    </w:p>
    <w:p w14:paraId="3E1820D4">
      <w:pPr>
        <w:widowControl/>
        <w:numPr>
          <w:ilvl w:val="0"/>
          <w:numId w:val="8"/>
        </w:numPr>
        <w:spacing w:after="109" w:line="259" w:lineRule="auto"/>
        <w:jc w:val="left"/>
        <w:rPr>
          <w:b/>
          <w:color w:val="auto"/>
          <w:highlight w:val="none"/>
        </w:rPr>
      </w:pPr>
      <w:r>
        <w:rPr>
          <w:b/>
          <w:color w:val="auto"/>
          <w:highlight w:val="none"/>
        </w:rPr>
        <w:t>响应人提交两份以上不同内容的响应文件，或在一份响应文件中有两个或多个报价，且未声明哪一个为最终报价的，但按竞争性谈判文件规定提交备选竞争性谈判方案的除外；</w:t>
      </w:r>
    </w:p>
    <w:p w14:paraId="76456965">
      <w:pPr>
        <w:widowControl/>
        <w:numPr>
          <w:ilvl w:val="0"/>
          <w:numId w:val="8"/>
        </w:numPr>
        <w:spacing w:after="109" w:line="259" w:lineRule="auto"/>
        <w:jc w:val="left"/>
        <w:rPr>
          <w:b/>
          <w:color w:val="auto"/>
          <w:highlight w:val="none"/>
        </w:rPr>
      </w:pPr>
      <w:r>
        <w:rPr>
          <w:b/>
          <w:color w:val="auto"/>
          <w:highlight w:val="none"/>
        </w:rPr>
        <w:t xml:space="preserve">响应人以他人名义竞争性谈判或者响应人经资格审查不符合资格条件的； </w:t>
      </w:r>
    </w:p>
    <w:p w14:paraId="31249C6C">
      <w:pPr>
        <w:widowControl/>
        <w:numPr>
          <w:ilvl w:val="0"/>
          <w:numId w:val="8"/>
        </w:numPr>
        <w:spacing w:after="109" w:line="259" w:lineRule="auto"/>
        <w:jc w:val="left"/>
        <w:rPr>
          <w:b/>
          <w:color w:val="auto"/>
          <w:highlight w:val="none"/>
        </w:rPr>
      </w:pPr>
      <w:r>
        <w:rPr>
          <w:rFonts w:hint="eastAsia"/>
          <w:b/>
          <w:color w:val="auto"/>
          <w:highlight w:val="none"/>
        </w:rPr>
        <w:t>未按要求提交竞争性谈判保证金或提交的竞争性谈判保证金不足的；</w:t>
      </w:r>
    </w:p>
    <w:p w14:paraId="2642AC12">
      <w:pPr>
        <w:widowControl/>
        <w:numPr>
          <w:ilvl w:val="0"/>
          <w:numId w:val="8"/>
        </w:numPr>
        <w:spacing w:after="109" w:line="259" w:lineRule="auto"/>
        <w:jc w:val="left"/>
        <w:rPr>
          <w:b/>
          <w:color w:val="auto"/>
          <w:highlight w:val="none"/>
        </w:rPr>
      </w:pPr>
      <w:r>
        <w:rPr>
          <w:b/>
          <w:color w:val="auto"/>
          <w:highlight w:val="none"/>
        </w:rPr>
        <w:t>竞争性谈判有效期不满足竞争性谈判文件要求的；</w:t>
      </w:r>
    </w:p>
    <w:p w14:paraId="2BB91E7F">
      <w:pPr>
        <w:widowControl/>
        <w:numPr>
          <w:ilvl w:val="0"/>
          <w:numId w:val="8"/>
        </w:numPr>
        <w:spacing w:after="109" w:line="259" w:lineRule="auto"/>
        <w:jc w:val="left"/>
        <w:rPr>
          <w:b/>
          <w:color w:val="auto"/>
          <w:highlight w:val="none"/>
        </w:rPr>
      </w:pPr>
      <w:r>
        <w:rPr>
          <w:b/>
          <w:color w:val="auto"/>
          <w:highlight w:val="none"/>
        </w:rPr>
        <w:t xml:space="preserve">竞争性谈判报价低于成本价，且响应人不能按谈判小组要求对其报价进行合理说明或提供相关证明材料的； </w:t>
      </w:r>
    </w:p>
    <w:p w14:paraId="09D5D636">
      <w:pPr>
        <w:widowControl/>
        <w:numPr>
          <w:ilvl w:val="0"/>
          <w:numId w:val="8"/>
        </w:numPr>
        <w:spacing w:after="109" w:line="259" w:lineRule="auto"/>
        <w:jc w:val="left"/>
        <w:rPr>
          <w:b/>
          <w:color w:val="auto"/>
          <w:highlight w:val="none"/>
        </w:rPr>
      </w:pPr>
      <w:r>
        <w:rPr>
          <w:b/>
          <w:color w:val="auto"/>
          <w:highlight w:val="none"/>
        </w:rPr>
        <w:t>竞争性谈判报价高于竞争性谈判文件设定的最高限价的；</w:t>
      </w:r>
    </w:p>
    <w:p w14:paraId="49929B01">
      <w:pPr>
        <w:widowControl/>
        <w:numPr>
          <w:ilvl w:val="0"/>
          <w:numId w:val="8"/>
        </w:numPr>
        <w:spacing w:after="109" w:line="259" w:lineRule="auto"/>
        <w:jc w:val="left"/>
        <w:rPr>
          <w:b/>
          <w:color w:val="auto"/>
          <w:highlight w:val="none"/>
        </w:rPr>
      </w:pPr>
      <w:r>
        <w:rPr>
          <w:b/>
          <w:color w:val="auto"/>
          <w:highlight w:val="none"/>
        </w:rPr>
        <w:t>响应文件未能对竞争性谈判文件中提出的实质性要求和条件做出实质性响应的；</w:t>
      </w:r>
    </w:p>
    <w:p w14:paraId="796FFEDA">
      <w:pPr>
        <w:widowControl/>
        <w:numPr>
          <w:ilvl w:val="0"/>
          <w:numId w:val="8"/>
        </w:numPr>
        <w:spacing w:after="109" w:line="259" w:lineRule="auto"/>
        <w:jc w:val="left"/>
        <w:rPr>
          <w:b/>
          <w:color w:val="auto"/>
          <w:highlight w:val="none"/>
        </w:rPr>
      </w:pPr>
      <w:r>
        <w:rPr>
          <w:b/>
          <w:color w:val="auto"/>
          <w:highlight w:val="none"/>
        </w:rPr>
        <w:t xml:space="preserve">响应人有串通竞争性谈判、弄虚作假、行贿等违法行为的； </w:t>
      </w:r>
    </w:p>
    <w:p w14:paraId="0406F342">
      <w:pPr>
        <w:widowControl/>
        <w:numPr>
          <w:ilvl w:val="0"/>
          <w:numId w:val="8"/>
        </w:numPr>
        <w:spacing w:after="109" w:line="259" w:lineRule="auto"/>
        <w:jc w:val="left"/>
        <w:rPr>
          <w:b/>
          <w:color w:val="auto"/>
          <w:highlight w:val="none"/>
        </w:rPr>
      </w:pPr>
      <w:r>
        <w:rPr>
          <w:rFonts w:hint="eastAsia"/>
          <w:b/>
          <w:color w:val="auto"/>
          <w:highlight w:val="none"/>
        </w:rPr>
        <w:t>不按谈判小组要求澄清、说明或补正；</w:t>
      </w:r>
    </w:p>
    <w:p w14:paraId="1E42D544">
      <w:pPr>
        <w:widowControl/>
        <w:numPr>
          <w:ilvl w:val="0"/>
          <w:numId w:val="8"/>
        </w:numPr>
        <w:spacing w:after="109" w:line="259" w:lineRule="auto"/>
        <w:jc w:val="left"/>
        <w:rPr>
          <w:b/>
          <w:color w:val="auto"/>
          <w:highlight w:val="none"/>
        </w:rPr>
      </w:pPr>
      <w:r>
        <w:rPr>
          <w:b/>
          <w:color w:val="auto"/>
          <w:highlight w:val="none"/>
        </w:rPr>
        <w:t xml:space="preserve">竞争性谈判文件明确规定可以否决竞争性谈判的其他情形。 </w:t>
      </w:r>
    </w:p>
    <w:p w14:paraId="2BC8E3C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3.1.</w:t>
      </w:r>
      <w:r>
        <w:rPr>
          <w:rFonts w:ascii="宋体" w:hAnsi="宋体"/>
          <w:color w:val="auto"/>
          <w:szCs w:val="21"/>
          <w:highlight w:val="none"/>
        </w:rPr>
        <w:t>5</w:t>
      </w:r>
      <w:r>
        <w:rPr>
          <w:rFonts w:hint="eastAsia" w:ascii="宋体" w:hAnsi="宋体"/>
          <w:color w:val="auto"/>
          <w:szCs w:val="21"/>
          <w:highlight w:val="none"/>
        </w:rPr>
        <w:t>评审过程中，谈判小组收到低于成本价竞争性谈判的书面质疑材料、发现响应人的综合报价明显低于其他竞争性谈判报价或者设有标底时明显低于标底，认为竞争性谈判报价可能低于成本的，应当书面要求该响应人作出书面说明并提供相关证明材料。响应人不能合理说明或者不能提供相应证明材料的，由谈判小组认定该响应人以低于成本报价竞标，</w:t>
      </w:r>
      <w:r>
        <w:rPr>
          <w:rFonts w:hint="eastAsia"/>
          <w:color w:val="auto"/>
          <w:szCs w:val="21"/>
          <w:highlight w:val="none"/>
        </w:rPr>
        <w:t>谈判小组应当否决其竞争性谈判</w:t>
      </w:r>
      <w:r>
        <w:rPr>
          <w:rFonts w:hint="eastAsia" w:ascii="宋体" w:hAnsi="宋体"/>
          <w:color w:val="auto"/>
          <w:szCs w:val="21"/>
          <w:highlight w:val="none"/>
        </w:rPr>
        <w:t>。</w:t>
      </w:r>
    </w:p>
    <w:p w14:paraId="79340B4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3.1.</w:t>
      </w:r>
      <w:r>
        <w:rPr>
          <w:rFonts w:ascii="宋体" w:hAnsi="宋体"/>
          <w:color w:val="auto"/>
          <w:szCs w:val="21"/>
          <w:highlight w:val="none"/>
        </w:rPr>
        <w:t>6</w:t>
      </w:r>
      <w:r>
        <w:rPr>
          <w:rFonts w:hint="eastAsia" w:ascii="宋体" w:hAnsi="宋体"/>
          <w:color w:val="auto"/>
          <w:szCs w:val="21"/>
          <w:highlight w:val="none"/>
        </w:rPr>
        <w:t xml:space="preserve"> 竞争性谈判报价有算术错误的，谈判小组按照以下原则对竞争性谈判报价进行修正，修正的价格经响应人书面确认后具有约束力。响应人不接受修正价格的，</w:t>
      </w:r>
      <w:r>
        <w:rPr>
          <w:rFonts w:hint="eastAsia"/>
          <w:color w:val="auto"/>
          <w:szCs w:val="21"/>
          <w:highlight w:val="none"/>
        </w:rPr>
        <w:t>谈判小组应当否决其竞争性谈判</w:t>
      </w:r>
      <w:r>
        <w:rPr>
          <w:rFonts w:hint="eastAsia" w:ascii="宋体" w:hAnsi="宋体"/>
          <w:color w:val="auto"/>
          <w:szCs w:val="21"/>
          <w:highlight w:val="none"/>
        </w:rPr>
        <w:t>。如有补充其他价格修正方式，详见竞争性谈判须知前附表。</w:t>
      </w:r>
    </w:p>
    <w:p w14:paraId="5082089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(1）响应文件中的大写金额与小写金额不一致的，以大写金额为准；</w:t>
      </w:r>
    </w:p>
    <w:p w14:paraId="3D6CFEE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(2）总价金额与根据单价计算出的结果不一致的，以单价金额为准修正总价，但单价金额小数点有明显错误的除外。</w:t>
      </w:r>
    </w:p>
    <w:p w14:paraId="1321B59A">
      <w:pPr>
        <w:widowControl/>
        <w:tabs>
          <w:tab w:val="left" w:pos="540"/>
        </w:tabs>
        <w:spacing w:line="520" w:lineRule="exact"/>
        <w:jc w:val="left"/>
        <w:rPr>
          <w:rFonts w:ascii="宋体" w:hAnsi="宋体" w:cs="Courier New"/>
          <w:b/>
          <w:color w:val="auto"/>
          <w:sz w:val="28"/>
          <w:szCs w:val="28"/>
          <w:highlight w:val="none"/>
        </w:rPr>
      </w:pPr>
      <w:r>
        <w:rPr>
          <w:rFonts w:hint="eastAsia" w:ascii="宋体" w:hAnsi="宋体" w:cs="Courier New"/>
          <w:b/>
          <w:color w:val="auto"/>
          <w:sz w:val="28"/>
          <w:szCs w:val="28"/>
          <w:highlight w:val="none"/>
        </w:rPr>
        <w:t>3.2 谈判</w:t>
      </w:r>
    </w:p>
    <w:p w14:paraId="6E3A8D6C">
      <w:pPr>
        <w:pStyle w:val="22"/>
        <w:spacing w:line="52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3.2.1确定谈判顺序</w:t>
      </w:r>
    </w:p>
    <w:p w14:paraId="5110BA7E">
      <w:pPr>
        <w:pStyle w:val="22"/>
        <w:spacing w:line="52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谈判小组应当通过随机方式确定参加谈判的响应人的谈判顺序。</w:t>
      </w:r>
    </w:p>
    <w:p w14:paraId="1E1DCFD9">
      <w:pPr>
        <w:pStyle w:val="22"/>
        <w:spacing w:line="520" w:lineRule="exact"/>
        <w:ind w:firstLine="420" w:firstLineChars="200"/>
        <w:rPr>
          <w:rFonts w:ascii="宋体" w:hAnsi="宋体"/>
          <w:color w:val="auto"/>
          <w:szCs w:val="21"/>
          <w:highlight w:val="none"/>
        </w:rPr>
      </w:pPr>
      <w:r>
        <w:rPr>
          <w:rFonts w:hint="eastAsia" w:ascii="宋体" w:hAnsi="宋体" w:cs="宋体"/>
          <w:color w:val="auto"/>
          <w:kern w:val="0"/>
          <w:szCs w:val="21"/>
          <w:highlight w:val="none"/>
        </w:rPr>
        <w:t>3.2.2比较与评价</w:t>
      </w:r>
    </w:p>
    <w:p w14:paraId="4CC8ABFA">
      <w:pPr>
        <w:pStyle w:val="22"/>
        <w:spacing w:line="520" w:lineRule="exact"/>
        <w:ind w:firstLine="420" w:firstLineChars="200"/>
        <w:rPr>
          <w:rFonts w:ascii="宋体" w:hAnsi="宋体"/>
          <w:color w:val="auto"/>
          <w:szCs w:val="21"/>
          <w:highlight w:val="none"/>
        </w:rPr>
      </w:pPr>
      <w:r>
        <w:rPr>
          <w:rFonts w:hint="eastAsia" w:ascii="宋体" w:hAnsi="宋体"/>
          <w:color w:val="auto"/>
          <w:szCs w:val="21"/>
          <w:highlight w:val="none"/>
        </w:rPr>
        <w:t>谈判小组对实质性响应文件从商务、技术参数与规格型号、性能与质量、功能或整体方案、售后服务、响应人和制造商资信、相关业绩、执行合同能力等方面进行全面比较与评价。</w:t>
      </w:r>
    </w:p>
    <w:p w14:paraId="2DD9C807">
      <w:pPr>
        <w:pStyle w:val="22"/>
        <w:spacing w:line="520" w:lineRule="exact"/>
        <w:ind w:firstLine="420" w:firstLineChars="200"/>
        <w:rPr>
          <w:rFonts w:ascii="宋体" w:hAnsi="宋体"/>
          <w:color w:val="auto"/>
          <w:szCs w:val="21"/>
          <w:highlight w:val="none"/>
        </w:rPr>
      </w:pPr>
      <w:r>
        <w:rPr>
          <w:rFonts w:hint="eastAsia" w:ascii="宋体" w:hAnsi="宋体"/>
          <w:color w:val="auto"/>
          <w:szCs w:val="21"/>
          <w:highlight w:val="none"/>
        </w:rPr>
        <w:t>所有谈判小组成员集体与每位实质性响应的响应人分别进行单独谈判，在谈判中，谈判的任何一方不得透露与谈判有关的其他响应人的技术资料、价格和其他信息。</w:t>
      </w:r>
      <w:r>
        <w:rPr>
          <w:rFonts w:hint="eastAsia" w:ascii="宋体" w:hAnsi="宋体" w:cs="宋体"/>
          <w:color w:val="auto"/>
          <w:kern w:val="0"/>
          <w:szCs w:val="21"/>
          <w:highlight w:val="none"/>
        </w:rPr>
        <w:t>谈判小组所有成员集中与响应人分别进行一轮或多轮谈判。</w:t>
      </w:r>
    </w:p>
    <w:p w14:paraId="46EF6850">
      <w:pPr>
        <w:pStyle w:val="8"/>
        <w:rPr>
          <w:rFonts w:ascii="宋体" w:hAnsi="宋体"/>
          <w:color w:val="auto"/>
          <w:highlight w:val="none"/>
        </w:rPr>
      </w:pPr>
      <w:r>
        <w:rPr>
          <w:rFonts w:hint="eastAsia" w:ascii="宋体" w:hAnsi="宋体"/>
          <w:color w:val="auto"/>
          <w:highlight w:val="none"/>
        </w:rPr>
        <w:t>3.3最终报价</w:t>
      </w:r>
    </w:p>
    <w:p w14:paraId="4E51B1BB">
      <w:pPr>
        <w:widowControl/>
        <w:tabs>
          <w:tab w:val="left" w:pos="540"/>
        </w:tabs>
        <w:spacing w:line="520" w:lineRule="exact"/>
        <w:ind w:firstLine="420" w:firstLineChars="200"/>
        <w:jc w:val="left"/>
        <w:rPr>
          <w:rFonts w:ascii="宋体" w:hAnsi="宋体"/>
          <w:color w:val="auto"/>
          <w:szCs w:val="21"/>
          <w:highlight w:val="none"/>
        </w:rPr>
      </w:pPr>
      <w:r>
        <w:rPr>
          <w:rFonts w:hint="eastAsia" w:ascii="宋体" w:hAnsi="宋体"/>
          <w:color w:val="auto"/>
          <w:szCs w:val="21"/>
          <w:highlight w:val="none"/>
        </w:rPr>
        <w:t>竞争性谈判报价原则上不少于两轮报价（含唱标报价），谈判小组应要求所有参加最后一轮谈判的供应商在规定的统一截止时间前提交最终密封报价（最终报价时间视谈判进程由谈判小组决定）。原则上最后一轮报价应进行公开唱标。</w:t>
      </w:r>
    </w:p>
    <w:p w14:paraId="3AD223CB">
      <w:pPr>
        <w:widowControl/>
        <w:tabs>
          <w:tab w:val="left" w:pos="540"/>
        </w:tabs>
        <w:spacing w:line="520" w:lineRule="exact"/>
        <w:ind w:firstLine="420" w:firstLineChars="200"/>
        <w:jc w:val="left"/>
        <w:rPr>
          <w:rFonts w:ascii="宋体" w:hAnsi="宋体"/>
          <w:color w:val="auto"/>
          <w:szCs w:val="21"/>
          <w:highlight w:val="none"/>
        </w:rPr>
      </w:pPr>
      <w:r>
        <w:rPr>
          <w:rFonts w:hint="eastAsia" w:ascii="宋体" w:hAnsi="宋体"/>
          <w:color w:val="auto"/>
          <w:szCs w:val="21"/>
          <w:highlight w:val="none"/>
        </w:rPr>
        <w:t>除非在谈判中谈判小组调整或修改采购需求内容，否则采购方不接受高于前面轮次谈判报价的最终报价。</w:t>
      </w:r>
    </w:p>
    <w:p w14:paraId="0CF33396">
      <w:pPr>
        <w:widowControl/>
        <w:spacing w:line="520" w:lineRule="exact"/>
        <w:ind w:firstLine="422" w:firstLineChars="200"/>
        <w:jc w:val="left"/>
        <w:rPr>
          <w:rFonts w:ascii="宋体" w:hAnsi="宋体"/>
          <w:b/>
          <w:color w:val="auto"/>
          <w:szCs w:val="21"/>
          <w:highlight w:val="none"/>
        </w:rPr>
      </w:pPr>
      <w:r>
        <w:rPr>
          <w:rFonts w:hint="eastAsia" w:ascii="宋体" w:hAnsi="宋体"/>
          <w:b/>
          <w:color w:val="auto"/>
          <w:szCs w:val="21"/>
          <w:highlight w:val="none"/>
        </w:rPr>
        <w:t>响应人最终报价逾时不交的，可视为自动放弃评审资格。</w:t>
      </w:r>
    </w:p>
    <w:p w14:paraId="1EAA2DAE">
      <w:pPr>
        <w:widowControl/>
        <w:tabs>
          <w:tab w:val="left" w:pos="540"/>
        </w:tabs>
        <w:spacing w:line="520" w:lineRule="exact"/>
        <w:jc w:val="left"/>
        <w:rPr>
          <w:rFonts w:ascii="宋体" w:hAnsi="宋体"/>
          <w:b/>
          <w:color w:val="auto"/>
          <w:sz w:val="28"/>
          <w:szCs w:val="28"/>
          <w:highlight w:val="none"/>
        </w:rPr>
      </w:pPr>
      <w:r>
        <w:rPr>
          <w:rFonts w:hint="eastAsia" w:ascii="宋体" w:hAnsi="宋体" w:cs="Courier New"/>
          <w:b/>
          <w:color w:val="auto"/>
          <w:sz w:val="28"/>
          <w:szCs w:val="28"/>
          <w:highlight w:val="none"/>
        </w:rPr>
        <w:t>3.4</w:t>
      </w:r>
      <w:r>
        <w:rPr>
          <w:rFonts w:hint="eastAsia" w:ascii="宋体" w:hAnsi="宋体"/>
          <w:b/>
          <w:color w:val="auto"/>
          <w:sz w:val="28"/>
          <w:szCs w:val="28"/>
          <w:highlight w:val="none"/>
        </w:rPr>
        <w:t>推荐成交候选人</w:t>
      </w:r>
    </w:p>
    <w:p w14:paraId="0A0D80FB">
      <w:pPr>
        <w:spacing w:line="520" w:lineRule="exact"/>
        <w:ind w:firstLine="420" w:firstLineChars="200"/>
        <w:rPr>
          <w:rFonts w:hint="eastAsia" w:ascii="宋体" w:hAnsi="宋体" w:cs="宋体"/>
          <w:color w:val="auto"/>
          <w:kern w:val="0"/>
          <w:highlight w:val="none"/>
          <w:lang w:eastAsia="zh-CN"/>
        </w:rPr>
      </w:pPr>
      <w:r>
        <w:rPr>
          <w:rFonts w:hint="eastAsia" w:ascii="宋体" w:hAnsi="宋体" w:cs="Courier New"/>
          <w:color w:val="auto"/>
          <w:szCs w:val="21"/>
          <w:highlight w:val="none"/>
        </w:rPr>
        <w:t>竞争性谈判以响应人最后一轮谈判的报价及承诺作为谈判小组向采购人推荐成交候选人的依据，谈判小组应当根据符合采购需求、质量和服务相等且报价最低的原则按顺序排列推荐成交</w:t>
      </w:r>
      <w:r>
        <w:rPr>
          <w:rFonts w:hint="eastAsia" w:ascii="宋体" w:hAnsi="宋体" w:cs="Courier New"/>
          <w:color w:val="auto"/>
          <w:szCs w:val="21"/>
          <w:highlight w:val="none"/>
          <w:lang w:eastAsia="zh-CN"/>
        </w:rPr>
        <w:t>候选</w:t>
      </w:r>
      <w:r>
        <w:rPr>
          <w:rFonts w:hint="eastAsia" w:ascii="宋体" w:hAnsi="宋体" w:cs="Courier New"/>
          <w:color w:val="auto"/>
          <w:szCs w:val="21"/>
          <w:highlight w:val="none"/>
        </w:rPr>
        <w:t>响应人。</w:t>
      </w:r>
      <w:r>
        <w:rPr>
          <w:rFonts w:hint="eastAsia" w:ascii="宋体" w:hAnsi="宋体" w:cs="宋体"/>
          <w:color w:val="auto"/>
          <w:kern w:val="0"/>
          <w:highlight w:val="none"/>
        </w:rPr>
        <w:t>如最低投标报价相同，由谈判小组按技术指标优劣顺序排列。如果无法进行合理排序，则采用现场随机抽签方式确定。</w:t>
      </w:r>
      <w:r>
        <w:rPr>
          <w:rFonts w:hint="eastAsia" w:ascii="宋体" w:hAnsi="宋体" w:cs="宋体"/>
          <w:color w:val="auto"/>
          <w:kern w:val="0"/>
          <w:highlight w:val="none"/>
          <w:lang w:eastAsia="zh-CN"/>
        </w:rPr>
        <w:t>（</w:t>
      </w:r>
      <w:r>
        <w:rPr>
          <w:rFonts w:hint="eastAsia" w:ascii="宋体" w:hAnsi="宋体" w:cs="宋体"/>
          <w:color w:val="auto"/>
          <w:kern w:val="0"/>
          <w:highlight w:val="none"/>
          <w:lang w:val="en-US" w:eastAsia="zh-CN"/>
        </w:rPr>
        <w:t>若出现次低报价相同影响评审结果的，同样按上述程序执行。</w:t>
      </w:r>
      <w:r>
        <w:rPr>
          <w:rFonts w:hint="eastAsia" w:ascii="宋体" w:hAnsi="宋体" w:cs="宋体"/>
          <w:color w:val="auto"/>
          <w:kern w:val="0"/>
          <w:highlight w:val="none"/>
          <w:lang w:eastAsia="zh-CN"/>
        </w:rPr>
        <w:t>）</w:t>
      </w:r>
    </w:p>
    <w:p w14:paraId="0EEB9DF2">
      <w:pPr>
        <w:spacing w:line="520" w:lineRule="exact"/>
        <w:ind w:firstLine="420" w:firstLineChars="200"/>
        <w:rPr>
          <w:rFonts w:ascii="宋体" w:hAnsi="宋体" w:cs="Courier New"/>
          <w:color w:val="auto"/>
          <w:szCs w:val="21"/>
          <w:highlight w:val="none"/>
        </w:rPr>
      </w:pPr>
      <w:r>
        <w:rPr>
          <w:rFonts w:hint="eastAsia" w:ascii="宋体" w:hAnsi="宋体" w:cs="Courier New"/>
          <w:color w:val="auto"/>
          <w:szCs w:val="21"/>
          <w:highlight w:val="none"/>
        </w:rPr>
        <w:t>谈判小组推荐非报价最低的谈判响应人为成交响应人的，须附书面报告说明理由且由谈判小组全体成员签字确认。</w:t>
      </w:r>
    </w:p>
    <w:p w14:paraId="4EBF0679">
      <w:pPr>
        <w:spacing w:line="520" w:lineRule="exact"/>
        <w:ind w:firstLine="420" w:firstLineChars="200"/>
        <w:rPr>
          <w:rFonts w:ascii="宋体" w:hAnsi="宋体" w:cs="Courier New"/>
          <w:color w:val="auto"/>
          <w:szCs w:val="21"/>
          <w:highlight w:val="none"/>
        </w:rPr>
      </w:pPr>
      <w:r>
        <w:rPr>
          <w:rFonts w:hint="eastAsia" w:ascii="宋体" w:hAnsi="宋体" w:cs="Courier New"/>
          <w:color w:val="auto"/>
          <w:szCs w:val="21"/>
          <w:highlight w:val="none"/>
        </w:rPr>
        <w:t>在推荐确定成交候选人之前，谈判小组认为，排在前面的成交候选人的最终报价或者某些分项报价明显不合理或者低于成本，有可能影响商品质量和不能诚信履约的，应当要求其在规定的期限内提供书面文件予以说明理由，并提交相关证明材料。否则，谈判小组可以取消该响应人的成交候</w:t>
      </w:r>
      <w:r>
        <w:rPr>
          <w:rFonts w:hint="eastAsia" w:ascii="宋体" w:hAnsi="宋体" w:cs="Courier New"/>
          <w:color w:val="auto"/>
          <w:szCs w:val="21"/>
          <w:highlight w:val="none"/>
          <w:lang w:eastAsia="zh-CN"/>
        </w:rPr>
        <w:t>选人</w:t>
      </w:r>
      <w:r>
        <w:rPr>
          <w:rFonts w:hint="eastAsia" w:ascii="宋体" w:hAnsi="宋体" w:cs="Courier New"/>
          <w:color w:val="auto"/>
          <w:szCs w:val="21"/>
          <w:highlight w:val="none"/>
        </w:rPr>
        <w:t>资格，按顺序由排在其次的成交候选人递补，以此类推。</w:t>
      </w:r>
    </w:p>
    <w:p w14:paraId="470F27A1">
      <w:pPr>
        <w:widowControl/>
        <w:tabs>
          <w:tab w:val="left" w:pos="540"/>
        </w:tabs>
        <w:spacing w:line="520" w:lineRule="exact"/>
        <w:jc w:val="left"/>
        <w:rPr>
          <w:rFonts w:ascii="宋体" w:hAnsi="宋体"/>
          <w:b/>
          <w:color w:val="auto"/>
          <w:sz w:val="28"/>
          <w:szCs w:val="28"/>
          <w:highlight w:val="none"/>
        </w:rPr>
      </w:pPr>
      <w:r>
        <w:rPr>
          <w:rFonts w:hint="eastAsia" w:ascii="宋体" w:hAnsi="宋体"/>
          <w:b/>
          <w:color w:val="auto"/>
          <w:sz w:val="28"/>
          <w:szCs w:val="28"/>
          <w:highlight w:val="none"/>
        </w:rPr>
        <w:t>3.5编写评审报告</w:t>
      </w:r>
    </w:p>
    <w:p w14:paraId="1A786DBB">
      <w:pPr>
        <w:spacing w:line="520" w:lineRule="exact"/>
        <w:ind w:firstLine="570"/>
        <w:rPr>
          <w:rFonts w:ascii="宋体" w:hAnsi="宋体"/>
          <w:color w:val="auto"/>
          <w:szCs w:val="21"/>
          <w:highlight w:val="none"/>
        </w:rPr>
      </w:pPr>
      <w:r>
        <w:rPr>
          <w:rFonts w:hint="eastAsia" w:ascii="宋体" w:hAnsi="宋体"/>
          <w:color w:val="auto"/>
          <w:szCs w:val="21"/>
          <w:highlight w:val="none"/>
        </w:rPr>
        <w:t>竞争性谈判工作结束后，谈判小组根据全体成员签字的原始记录和结果编写评审报告。评审报告内容主要包括：(1)项目基本情况；(2)竞争性谈判过程介绍；(3)谈判小组构成；(4)谈判评审情况说明（包括详细评审评分、无效响应人名单及原因）；(5)响应人最终报价情况；(6)推荐成交候选人建议等。</w:t>
      </w:r>
    </w:p>
    <w:p w14:paraId="4719CF31">
      <w:pPr>
        <w:widowControl/>
        <w:jc w:val="left"/>
        <w:rPr>
          <w:color w:val="auto"/>
          <w:sz w:val="28"/>
          <w:szCs w:val="28"/>
          <w:highlight w:val="none"/>
        </w:rPr>
        <w:sectPr>
          <w:pgSz w:w="11906" w:h="16838"/>
          <w:pgMar w:top="1440" w:right="1800" w:bottom="1440" w:left="1800" w:header="851" w:footer="992" w:gutter="0"/>
          <w:cols w:space="720" w:num="1"/>
          <w:docGrid w:type="lines" w:linePitch="312" w:charSpace="0"/>
        </w:sectPr>
      </w:pPr>
      <w:r>
        <w:rPr>
          <w:rFonts w:ascii="宋体" w:hAnsi="宋体"/>
          <w:color w:val="auto"/>
          <w:szCs w:val="21"/>
          <w:highlight w:val="none"/>
        </w:rPr>
        <w:br w:type="page"/>
      </w:r>
      <w:bookmarkEnd w:id="110"/>
      <w:bookmarkEnd w:id="111"/>
      <w:bookmarkEnd w:id="112"/>
      <w:bookmarkEnd w:id="113"/>
      <w:bookmarkEnd w:id="114"/>
      <w:bookmarkEnd w:id="115"/>
      <w:bookmarkEnd w:id="116"/>
      <w:bookmarkEnd w:id="117"/>
      <w:bookmarkEnd w:id="121"/>
      <w:bookmarkStart w:id="125" w:name="_Toc456551944"/>
    </w:p>
    <w:bookmarkEnd w:id="125"/>
    <w:p w14:paraId="3E0C0605">
      <w:pPr>
        <w:pStyle w:val="5"/>
        <w:keepNext/>
        <w:keepLines/>
        <w:pageBreakBefore w:val="0"/>
        <w:widowControl w:val="0"/>
        <w:kinsoku/>
        <w:wordWrap/>
        <w:overflowPunct/>
        <w:topLinePunct w:val="0"/>
        <w:autoSpaceDE/>
        <w:autoSpaceDN/>
        <w:bidi w:val="0"/>
        <w:adjustRightInd/>
        <w:snapToGrid/>
        <w:spacing w:before="0"/>
        <w:jc w:val="center"/>
        <w:textAlignment w:val="auto"/>
        <w:rPr>
          <w:rFonts w:ascii="宋体" w:hAnsi="宋体"/>
          <w:color w:val="auto"/>
          <w:sz w:val="28"/>
          <w:szCs w:val="28"/>
          <w:highlight w:val="none"/>
        </w:rPr>
      </w:pPr>
      <w:bookmarkStart w:id="126" w:name="_3._其他说明_4."/>
      <w:bookmarkEnd w:id="126"/>
      <w:bookmarkStart w:id="127" w:name="_Toc246996353"/>
      <w:bookmarkStart w:id="128" w:name="_Toc179632804"/>
      <w:bookmarkStart w:id="129" w:name="_Toc247085870"/>
      <w:bookmarkStart w:id="130" w:name="_Toc246997096"/>
      <w:bookmarkStart w:id="131" w:name="_Toc338661803"/>
      <w:bookmarkStart w:id="132" w:name="_Toc456552075"/>
      <w:bookmarkStart w:id="133" w:name="_Toc5985"/>
      <w:r>
        <w:rPr>
          <w:rFonts w:hint="eastAsia" w:ascii="宋体" w:hAnsi="宋体"/>
          <w:color w:val="auto"/>
          <w:sz w:val="28"/>
          <w:szCs w:val="28"/>
          <w:highlight w:val="none"/>
        </w:rPr>
        <w:t xml:space="preserve">第四章 </w:t>
      </w:r>
      <w:bookmarkEnd w:id="127"/>
      <w:bookmarkEnd w:id="128"/>
      <w:bookmarkEnd w:id="129"/>
      <w:bookmarkEnd w:id="130"/>
      <w:bookmarkEnd w:id="131"/>
      <w:bookmarkEnd w:id="132"/>
      <w:r>
        <w:rPr>
          <w:rFonts w:hint="eastAsia" w:ascii="宋体" w:hAnsi="宋体"/>
          <w:color w:val="auto"/>
          <w:sz w:val="28"/>
          <w:szCs w:val="28"/>
          <w:highlight w:val="none"/>
        </w:rPr>
        <w:t>用户需求书</w:t>
      </w:r>
      <w:bookmarkEnd w:id="133"/>
    </w:p>
    <w:p w14:paraId="5C50B4AE">
      <w:pPr>
        <w:spacing w:before="0" w:after="0" w:line="360" w:lineRule="auto"/>
        <w:jc w:val="left"/>
        <w:outlineLvl w:val="9"/>
        <w:rPr>
          <w:rFonts w:hint="eastAsia" w:ascii="宋体" w:hAnsi="宋体" w:eastAsia="宋体"/>
          <w:b/>
          <w:bCs/>
          <w:color w:val="auto"/>
          <w:sz w:val="28"/>
          <w:szCs w:val="28"/>
          <w:highlight w:val="none"/>
          <w:lang w:eastAsia="zh-CN"/>
        </w:rPr>
      </w:pPr>
      <w:bookmarkStart w:id="134" w:name="_Toc23727"/>
      <w:bookmarkStart w:id="135" w:name="_Toc4409"/>
      <w:bookmarkStart w:id="136" w:name="_Toc1593"/>
      <w:r>
        <w:rPr>
          <w:rFonts w:hint="eastAsia" w:ascii="宋体" w:hAnsi="宋体"/>
          <w:b/>
          <w:bCs/>
          <w:color w:val="auto"/>
          <w:sz w:val="28"/>
          <w:szCs w:val="28"/>
          <w:highlight w:val="none"/>
          <w:lang w:val="en-US" w:eastAsia="zh-CN"/>
        </w:rPr>
        <w:t>一、</w:t>
      </w:r>
      <w:r>
        <w:rPr>
          <w:rFonts w:hint="eastAsia" w:ascii="宋体" w:hAnsi="宋体"/>
          <w:b/>
          <w:bCs/>
          <w:color w:val="auto"/>
          <w:sz w:val="28"/>
          <w:szCs w:val="28"/>
          <w:highlight w:val="none"/>
        </w:rPr>
        <w:t>商务需求书</w:t>
      </w:r>
      <w:bookmarkEnd w:id="134"/>
      <w:bookmarkEnd w:id="135"/>
      <w:bookmarkEnd w:id="136"/>
      <w:r>
        <w:rPr>
          <w:rFonts w:hint="eastAsia" w:ascii="宋体" w:hAnsi="宋体"/>
          <w:b/>
          <w:bCs/>
          <w:color w:val="auto"/>
          <w:sz w:val="22"/>
          <w:szCs w:val="22"/>
          <w:highlight w:val="none"/>
          <w:lang w:eastAsia="zh-CN"/>
        </w:rPr>
        <w:t>【</w:t>
      </w:r>
      <w:r>
        <w:rPr>
          <w:rFonts w:hint="eastAsia" w:ascii="宋体" w:hAnsi="宋体"/>
          <w:b/>
          <w:bCs/>
          <w:color w:val="auto"/>
          <w:sz w:val="22"/>
          <w:szCs w:val="22"/>
          <w:highlight w:val="none"/>
          <w:lang w:val="en-US" w:eastAsia="zh-CN"/>
        </w:rPr>
        <w:t>标包1、标包2均适用</w:t>
      </w:r>
      <w:r>
        <w:rPr>
          <w:rFonts w:hint="eastAsia" w:ascii="宋体" w:hAnsi="宋体"/>
          <w:b/>
          <w:bCs/>
          <w:color w:val="auto"/>
          <w:sz w:val="22"/>
          <w:szCs w:val="22"/>
          <w:highlight w:val="none"/>
          <w:lang w:eastAsia="zh-CN"/>
        </w:rPr>
        <w:t>】</w:t>
      </w:r>
    </w:p>
    <w:tbl>
      <w:tblPr>
        <w:tblStyle w:val="38"/>
        <w:tblW w:w="852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1178"/>
        <w:gridCol w:w="6627"/>
      </w:tblGrid>
      <w:tr w14:paraId="2A99F3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17" w:type="dxa"/>
            <w:noWrap w:val="0"/>
            <w:vAlign w:val="center"/>
          </w:tcPr>
          <w:p w14:paraId="1571FC98">
            <w:pPr>
              <w:widowControl w:val="0"/>
              <w:adjustRightInd/>
              <w:snapToGrid/>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序号</w:t>
            </w:r>
          </w:p>
        </w:tc>
        <w:tc>
          <w:tcPr>
            <w:tcW w:w="1178" w:type="dxa"/>
            <w:noWrap w:val="0"/>
            <w:vAlign w:val="center"/>
          </w:tcPr>
          <w:p w14:paraId="71D62283">
            <w:pPr>
              <w:widowControl w:val="0"/>
              <w:adjustRightInd/>
              <w:snapToGrid/>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条款名称</w:t>
            </w:r>
          </w:p>
        </w:tc>
        <w:tc>
          <w:tcPr>
            <w:tcW w:w="6627" w:type="dxa"/>
            <w:noWrap w:val="0"/>
            <w:vAlign w:val="center"/>
          </w:tcPr>
          <w:p w14:paraId="3AF5A7C8">
            <w:pPr>
              <w:widowControl w:val="0"/>
              <w:adjustRightInd/>
              <w:snapToGrid/>
              <w:spacing w:line="360" w:lineRule="auto"/>
              <w:jc w:val="center"/>
              <w:rPr>
                <w:rFonts w:ascii="宋体" w:hAnsi="宋体" w:cs="宋体"/>
                <w:color w:val="auto"/>
                <w:szCs w:val="21"/>
                <w:highlight w:val="none"/>
              </w:rPr>
            </w:pPr>
            <w:r>
              <w:rPr>
                <w:rFonts w:hint="eastAsia" w:ascii="宋体" w:hAnsi="宋体" w:cs="宋体"/>
                <w:color w:val="auto"/>
                <w:szCs w:val="21"/>
                <w:highlight w:val="none"/>
              </w:rPr>
              <w:t>说  明</w:t>
            </w:r>
          </w:p>
        </w:tc>
      </w:tr>
      <w:tr w14:paraId="2AE338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17" w:type="dxa"/>
            <w:noWrap w:val="0"/>
            <w:vAlign w:val="center"/>
          </w:tcPr>
          <w:p w14:paraId="65FF22E5">
            <w:pPr>
              <w:widowControl w:val="0"/>
              <w:adjustRightInd/>
              <w:snapToGrid/>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1</w:t>
            </w:r>
          </w:p>
        </w:tc>
        <w:tc>
          <w:tcPr>
            <w:tcW w:w="1178" w:type="dxa"/>
            <w:noWrap w:val="0"/>
            <w:vAlign w:val="center"/>
          </w:tcPr>
          <w:p w14:paraId="42F7A9E9">
            <w:pPr>
              <w:widowControl w:val="0"/>
              <w:adjustRightInd/>
              <w:snapToGrid/>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合格供应商</w:t>
            </w:r>
          </w:p>
        </w:tc>
        <w:tc>
          <w:tcPr>
            <w:tcW w:w="6627" w:type="dxa"/>
            <w:noWrap w:val="0"/>
            <w:vAlign w:val="center"/>
          </w:tcPr>
          <w:p w14:paraId="69642BDE">
            <w:pPr>
              <w:widowControl w:val="0"/>
              <w:adjustRightInd/>
              <w:snapToGrid/>
              <w:spacing w:line="360" w:lineRule="auto"/>
              <w:jc w:val="left"/>
              <w:rPr>
                <w:rFonts w:ascii="宋体" w:hAnsi="宋体" w:cs="宋体"/>
                <w:bCs/>
                <w:color w:val="auto"/>
                <w:kern w:val="44"/>
                <w:szCs w:val="21"/>
                <w:highlight w:val="none"/>
              </w:rPr>
            </w:pPr>
            <w:r>
              <w:rPr>
                <w:rFonts w:hint="eastAsia" w:ascii="宋体" w:hAnsi="宋体" w:cs="宋体"/>
                <w:color w:val="auto"/>
                <w:szCs w:val="21"/>
                <w:highlight w:val="none"/>
              </w:rPr>
              <w:t>详见“第一章  竞争性谈判公告”中“二、 响应人资格要求”</w:t>
            </w:r>
          </w:p>
        </w:tc>
      </w:tr>
      <w:tr w14:paraId="6F3843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17" w:type="dxa"/>
            <w:noWrap w:val="0"/>
            <w:vAlign w:val="center"/>
          </w:tcPr>
          <w:p w14:paraId="49BA1EEF">
            <w:pPr>
              <w:widowControl w:val="0"/>
              <w:adjustRightInd/>
              <w:snapToGrid/>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2</w:t>
            </w:r>
          </w:p>
        </w:tc>
        <w:tc>
          <w:tcPr>
            <w:tcW w:w="1178" w:type="dxa"/>
            <w:noWrap w:val="0"/>
            <w:vAlign w:val="center"/>
          </w:tcPr>
          <w:p w14:paraId="0B9E0241">
            <w:pPr>
              <w:widowControl w:val="0"/>
              <w:adjustRightInd/>
              <w:snapToGrid/>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服务期</w:t>
            </w:r>
          </w:p>
        </w:tc>
        <w:tc>
          <w:tcPr>
            <w:tcW w:w="6627" w:type="dxa"/>
            <w:noWrap w:val="0"/>
            <w:vAlign w:val="center"/>
          </w:tcPr>
          <w:p w14:paraId="38E03EAB">
            <w:pPr>
              <w:widowControl w:val="0"/>
              <w:adjustRightInd/>
              <w:snapToGrid/>
              <w:spacing w:line="360" w:lineRule="auto"/>
              <w:jc w:val="left"/>
              <w:rPr>
                <w:rFonts w:ascii="宋体" w:hAnsi="宋体" w:cs="宋体"/>
                <w:color w:val="auto"/>
                <w:szCs w:val="21"/>
                <w:highlight w:val="none"/>
              </w:rPr>
            </w:pPr>
            <w:r>
              <w:rPr>
                <w:rFonts w:hint="eastAsia" w:ascii="宋体" w:hAnsi="宋体" w:cs="宋体"/>
                <w:color w:val="auto"/>
                <w:szCs w:val="21"/>
                <w:highlight w:val="none"/>
                <w:lang w:val="en-US" w:eastAsia="zh-CN"/>
              </w:rPr>
              <w:t>服务时间：</w:t>
            </w:r>
            <w:r>
              <w:rPr>
                <w:rFonts w:hint="eastAsia" w:ascii="宋体" w:hAnsi="宋体" w:cs="宋体"/>
                <w:color w:val="auto"/>
                <w:szCs w:val="21"/>
                <w:highlight w:val="none"/>
              </w:rPr>
              <w:t>项目合同签订之日起至项目相关报告</w:t>
            </w:r>
            <w:r>
              <w:rPr>
                <w:rFonts w:hint="eastAsia" w:ascii="宋体" w:hAnsi="宋体" w:cs="宋体"/>
                <w:color w:val="auto"/>
                <w:szCs w:val="21"/>
                <w:highlight w:val="none"/>
                <w:lang w:val="en-US" w:eastAsia="zh-CN"/>
              </w:rPr>
              <w:t>提交采购人</w:t>
            </w:r>
            <w:r>
              <w:rPr>
                <w:rFonts w:hint="eastAsia" w:ascii="宋体" w:hAnsi="宋体" w:cs="宋体"/>
                <w:color w:val="auto"/>
                <w:szCs w:val="21"/>
                <w:highlight w:val="none"/>
              </w:rPr>
              <w:t>并由</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确认无误时止</w:t>
            </w:r>
            <w:r>
              <w:rPr>
                <w:rFonts w:hint="eastAsia" w:ascii="宋体" w:hAnsi="宋体" w:cs="宋体"/>
                <w:color w:val="auto"/>
                <w:szCs w:val="21"/>
                <w:highlight w:val="none"/>
                <w:lang w:eastAsia="zh-CN"/>
              </w:rPr>
              <w:t>。</w:t>
            </w:r>
            <w:r>
              <w:rPr>
                <w:rFonts w:hint="eastAsia" w:ascii="宋体" w:hAnsi="宋体" w:cs="宋体"/>
                <w:color w:val="auto"/>
                <w:szCs w:val="21"/>
                <w:highlight w:val="none"/>
                <w:lang w:eastAsia="zh-CN"/>
              </w:rPr>
              <w:br w:type="textWrapping"/>
            </w:r>
            <w:r>
              <w:rPr>
                <w:rFonts w:hint="eastAsia" w:ascii="宋体" w:hAnsi="宋体" w:cs="宋体"/>
                <w:color w:val="auto"/>
                <w:szCs w:val="21"/>
                <w:highlight w:val="none"/>
                <w:lang w:eastAsia="zh-CN"/>
              </w:rPr>
              <w:t>相关报告提交期限：在</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lang w:eastAsia="zh-CN"/>
              </w:rPr>
              <w:t>资料提供齐全后10个工作日提交相关报告初稿，相关报告初稿经</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lang w:eastAsia="zh-CN"/>
              </w:rPr>
              <w:t>确认后10个工作日提交相关报告定稿。</w:t>
            </w:r>
          </w:p>
        </w:tc>
      </w:tr>
      <w:tr w14:paraId="00A774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17" w:type="dxa"/>
            <w:noWrap w:val="0"/>
            <w:vAlign w:val="center"/>
          </w:tcPr>
          <w:p w14:paraId="08BFAE4D">
            <w:pPr>
              <w:widowControl w:val="0"/>
              <w:adjustRightInd/>
              <w:snapToGrid/>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3</w:t>
            </w:r>
          </w:p>
        </w:tc>
        <w:tc>
          <w:tcPr>
            <w:tcW w:w="1178" w:type="dxa"/>
            <w:noWrap w:val="0"/>
            <w:vAlign w:val="center"/>
          </w:tcPr>
          <w:p w14:paraId="15B3953D">
            <w:pPr>
              <w:widowControl w:val="0"/>
              <w:adjustRightInd/>
              <w:snapToGrid/>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付款方式</w:t>
            </w:r>
          </w:p>
        </w:tc>
        <w:tc>
          <w:tcPr>
            <w:tcW w:w="6627" w:type="dxa"/>
            <w:noWrap w:val="0"/>
            <w:vAlign w:val="center"/>
          </w:tcPr>
          <w:p w14:paraId="65764D07">
            <w:pPr>
              <w:widowControl w:val="0"/>
              <w:adjustRightInd/>
              <w:snapToGrid/>
              <w:spacing w:line="360" w:lineRule="auto"/>
              <w:jc w:val="left"/>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出具相关报告定稿并由采购人确认无误之日起5个工作日内支付合同金额的100%。</w:t>
            </w:r>
            <w:r>
              <w:rPr>
                <w:rFonts w:hint="eastAsia" w:ascii="宋体" w:hAnsi="宋体" w:cs="宋体"/>
                <w:color w:val="auto"/>
                <w:szCs w:val="21"/>
                <w:highlight w:val="none"/>
                <w:lang w:val="en-US" w:eastAsia="zh-CN"/>
              </w:rPr>
              <w:br w:type="textWrapping"/>
            </w:r>
            <w:r>
              <w:rPr>
                <w:rFonts w:hint="eastAsia" w:ascii="宋体" w:hAnsi="宋体" w:cs="宋体"/>
                <w:color w:val="auto"/>
                <w:szCs w:val="21"/>
                <w:highlight w:val="none"/>
                <w:lang w:val="en-US" w:eastAsia="zh-CN"/>
              </w:rPr>
              <w:t>按照现行税收政策规定，每次付款前，乙方必须提供合法、有效、与本合同总价款条款中增值税税率一致的增值税专用发票给甲方，否则甲方有权拒绝付款且不构成违约；若合同执行期间，遇国家税务政策调整所引起的合同价格变化，按照不含税价格调整结算价格。</w:t>
            </w:r>
          </w:p>
        </w:tc>
      </w:tr>
      <w:tr w14:paraId="212130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17" w:type="dxa"/>
            <w:noWrap w:val="0"/>
            <w:vAlign w:val="center"/>
          </w:tcPr>
          <w:p w14:paraId="04E92945">
            <w:pPr>
              <w:widowControl w:val="0"/>
              <w:adjustRightInd/>
              <w:snapToGrid/>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4</w:t>
            </w:r>
          </w:p>
        </w:tc>
        <w:tc>
          <w:tcPr>
            <w:tcW w:w="1178" w:type="dxa"/>
            <w:noWrap w:val="0"/>
            <w:vAlign w:val="center"/>
          </w:tcPr>
          <w:p w14:paraId="15F4924E">
            <w:pPr>
              <w:widowControl w:val="0"/>
              <w:adjustRightInd/>
              <w:snapToGrid/>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项目地点</w:t>
            </w:r>
          </w:p>
        </w:tc>
        <w:tc>
          <w:tcPr>
            <w:tcW w:w="6627" w:type="dxa"/>
            <w:noWrap w:val="0"/>
            <w:vAlign w:val="center"/>
          </w:tcPr>
          <w:p w14:paraId="47FFC246">
            <w:pPr>
              <w:widowControl w:val="0"/>
              <w:adjustRightInd/>
              <w:snapToGrid/>
              <w:spacing w:line="360" w:lineRule="auto"/>
              <w:jc w:val="left"/>
              <w:rPr>
                <w:rFonts w:ascii="宋体" w:hAnsi="宋体" w:cs="宋体"/>
                <w:color w:val="auto"/>
                <w:szCs w:val="21"/>
                <w:highlight w:val="none"/>
              </w:rPr>
            </w:pPr>
            <w:r>
              <w:rPr>
                <w:rFonts w:hint="eastAsia" w:ascii="宋体" w:hAnsi="宋体" w:cs="宋体"/>
                <w:color w:val="auto"/>
                <w:szCs w:val="21"/>
                <w:highlight w:val="none"/>
              </w:rPr>
              <w:t>采购人</w:t>
            </w:r>
            <w:r>
              <w:rPr>
                <w:rFonts w:hint="eastAsia" w:ascii="宋体" w:hAnsi="宋体" w:eastAsia="宋体" w:cs="宋体"/>
                <w:color w:val="auto"/>
                <w:kern w:val="2"/>
                <w:szCs w:val="21"/>
                <w:highlight w:val="none"/>
              </w:rPr>
              <w:t>指定</w:t>
            </w:r>
            <w:r>
              <w:rPr>
                <w:rFonts w:hint="eastAsia" w:ascii="宋体" w:hAnsi="宋体" w:cs="宋体"/>
                <w:color w:val="auto"/>
                <w:szCs w:val="21"/>
                <w:highlight w:val="none"/>
              </w:rPr>
              <w:t>地点。</w:t>
            </w:r>
          </w:p>
        </w:tc>
      </w:tr>
      <w:tr w14:paraId="27E562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17" w:type="dxa"/>
            <w:noWrap w:val="0"/>
            <w:vAlign w:val="center"/>
          </w:tcPr>
          <w:p w14:paraId="4BA0C12B">
            <w:pPr>
              <w:widowControl w:val="0"/>
              <w:adjustRightInd/>
              <w:snapToGrid/>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5</w:t>
            </w:r>
          </w:p>
        </w:tc>
        <w:tc>
          <w:tcPr>
            <w:tcW w:w="1178" w:type="dxa"/>
            <w:noWrap w:val="0"/>
            <w:vAlign w:val="center"/>
          </w:tcPr>
          <w:p w14:paraId="7149E660">
            <w:pPr>
              <w:widowControl w:val="0"/>
              <w:adjustRightInd/>
              <w:snapToGrid/>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报价要求</w:t>
            </w:r>
          </w:p>
        </w:tc>
        <w:tc>
          <w:tcPr>
            <w:tcW w:w="6627" w:type="dxa"/>
            <w:noWrap w:val="0"/>
            <w:vAlign w:val="center"/>
          </w:tcPr>
          <w:p w14:paraId="319FE53A">
            <w:pPr>
              <w:widowControl w:val="0"/>
              <w:adjustRightInd/>
              <w:snapToGrid/>
              <w:spacing w:line="360" w:lineRule="auto"/>
              <w:jc w:val="left"/>
              <w:rPr>
                <w:rFonts w:ascii="宋体" w:hAnsi="宋体" w:cs="宋体"/>
                <w:color w:val="auto"/>
                <w:szCs w:val="21"/>
                <w:highlight w:val="none"/>
              </w:rPr>
            </w:pPr>
            <w:r>
              <w:rPr>
                <w:rFonts w:hint="eastAsia" w:ascii="宋体" w:hAnsi="宋体" w:cs="宋体"/>
                <w:color w:val="auto"/>
                <w:szCs w:val="21"/>
                <w:highlight w:val="none"/>
                <w:lang w:val="en-US" w:eastAsia="zh-CN"/>
              </w:rPr>
              <w:t>谈判</w:t>
            </w:r>
            <w:r>
              <w:rPr>
                <w:rFonts w:hint="eastAsia" w:ascii="宋体" w:hAnsi="宋体" w:cs="宋体"/>
                <w:color w:val="auto"/>
                <w:szCs w:val="21"/>
                <w:highlight w:val="none"/>
              </w:rPr>
              <w:t>报价应包括本次采购所有服务内容的费用，包括但不限于人工、材料、成本、利润、措施费、税费以及合同实施过程中的不可预见费用等全部费用。</w:t>
            </w:r>
          </w:p>
        </w:tc>
      </w:tr>
      <w:tr w14:paraId="356850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17" w:type="dxa"/>
            <w:noWrap w:val="0"/>
            <w:vAlign w:val="center"/>
          </w:tcPr>
          <w:p w14:paraId="2B2532DE">
            <w:pPr>
              <w:widowControl w:val="0"/>
              <w:adjustRightInd/>
              <w:snapToGrid/>
              <w:spacing w:line="360" w:lineRule="auto"/>
              <w:jc w:val="center"/>
              <w:rPr>
                <w:rFonts w:hint="eastAsia" w:ascii="宋体" w:hAnsi="宋体" w:eastAsia="宋体" w:cs="宋体"/>
                <w:color w:val="auto"/>
                <w:kern w:val="2"/>
                <w:szCs w:val="21"/>
                <w:highlight w:val="none"/>
                <w:lang w:val="en-US" w:eastAsia="zh-CN"/>
              </w:rPr>
            </w:pPr>
            <w:r>
              <w:rPr>
                <w:rFonts w:hint="eastAsia" w:ascii="宋体" w:hAnsi="宋体" w:cs="宋体"/>
                <w:color w:val="auto"/>
                <w:kern w:val="2"/>
                <w:szCs w:val="21"/>
                <w:highlight w:val="none"/>
                <w:lang w:val="en-US" w:eastAsia="zh-CN"/>
              </w:rPr>
              <w:t>6</w:t>
            </w:r>
          </w:p>
        </w:tc>
        <w:tc>
          <w:tcPr>
            <w:tcW w:w="1178" w:type="dxa"/>
            <w:noWrap w:val="0"/>
            <w:vAlign w:val="center"/>
          </w:tcPr>
          <w:p w14:paraId="78BAC8EA">
            <w:pPr>
              <w:widowControl w:val="0"/>
              <w:adjustRightInd/>
              <w:snapToGrid/>
              <w:spacing w:line="360" w:lineRule="auto"/>
              <w:jc w:val="center"/>
              <w:rPr>
                <w:rFonts w:hint="default" w:ascii="宋体" w:hAnsi="宋体" w:eastAsia="宋体" w:cs="宋体"/>
                <w:color w:val="auto"/>
                <w:kern w:val="2"/>
                <w:szCs w:val="21"/>
                <w:highlight w:val="none"/>
                <w:lang w:val="en-US" w:eastAsia="zh-CN"/>
              </w:rPr>
            </w:pPr>
            <w:r>
              <w:rPr>
                <w:rFonts w:hint="eastAsia" w:ascii="宋体" w:hAnsi="宋体" w:cs="宋体"/>
                <w:color w:val="auto"/>
                <w:kern w:val="2"/>
                <w:szCs w:val="21"/>
                <w:highlight w:val="none"/>
                <w:lang w:val="en-US" w:eastAsia="zh-CN"/>
              </w:rPr>
              <w:t>验收要求</w:t>
            </w:r>
          </w:p>
        </w:tc>
        <w:tc>
          <w:tcPr>
            <w:tcW w:w="6627" w:type="dxa"/>
            <w:noWrap w:val="0"/>
            <w:vAlign w:val="center"/>
          </w:tcPr>
          <w:p w14:paraId="3B566F27">
            <w:pPr>
              <w:widowControl w:val="0"/>
              <w:adjustRightInd/>
              <w:snapToGrid/>
              <w:spacing w:line="360" w:lineRule="auto"/>
              <w:jc w:val="left"/>
              <w:rPr>
                <w:rFonts w:hint="eastAsia" w:ascii="宋体" w:hAnsi="宋体" w:eastAsia="宋体" w:cs="宋体"/>
                <w:color w:val="auto"/>
                <w:szCs w:val="21"/>
                <w:highlight w:val="none"/>
                <w:lang w:eastAsia="zh-CN"/>
              </w:rPr>
            </w:pPr>
            <w:r>
              <w:rPr>
                <w:rFonts w:hint="eastAsia"/>
                <w:color w:val="auto"/>
                <w:highlight w:val="none"/>
              </w:rPr>
              <w:t>符合国家法律法规及</w:t>
            </w:r>
            <w:r>
              <w:rPr>
                <w:rFonts w:hint="eastAsia"/>
                <w:color w:val="auto"/>
                <w:highlight w:val="none"/>
                <w:lang w:val="en-US" w:eastAsia="zh-CN"/>
              </w:rPr>
              <w:t>采购人</w:t>
            </w:r>
            <w:r>
              <w:rPr>
                <w:rFonts w:hint="eastAsia"/>
                <w:color w:val="auto"/>
                <w:highlight w:val="none"/>
              </w:rPr>
              <w:t>要求</w:t>
            </w:r>
            <w:r>
              <w:rPr>
                <w:rFonts w:hint="eastAsia" w:ascii="宋体" w:hAnsi="宋体" w:cs="宋体"/>
                <w:color w:val="auto"/>
                <w:szCs w:val="21"/>
                <w:highlight w:val="none"/>
              </w:rPr>
              <w:t>，并履行法定要求的备案程序</w:t>
            </w:r>
            <w:r>
              <w:rPr>
                <w:rFonts w:hint="eastAsia"/>
                <w:color w:val="auto"/>
                <w:highlight w:val="none"/>
                <w:lang w:eastAsia="zh-CN"/>
              </w:rPr>
              <w:t>。</w:t>
            </w:r>
          </w:p>
        </w:tc>
      </w:tr>
      <w:tr w14:paraId="0660ED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17" w:type="dxa"/>
            <w:noWrap w:val="0"/>
            <w:vAlign w:val="center"/>
          </w:tcPr>
          <w:p w14:paraId="66BF90C7">
            <w:pPr>
              <w:widowControl w:val="0"/>
              <w:adjustRightInd/>
              <w:snapToGrid/>
              <w:spacing w:line="360" w:lineRule="auto"/>
              <w:jc w:val="center"/>
              <w:rPr>
                <w:rFonts w:hint="eastAsia" w:ascii="宋体" w:hAnsi="宋体" w:eastAsia="宋体" w:cs="宋体"/>
                <w:color w:val="auto"/>
                <w:kern w:val="2"/>
                <w:szCs w:val="21"/>
                <w:highlight w:val="none"/>
                <w:lang w:eastAsia="zh-CN"/>
              </w:rPr>
            </w:pPr>
            <w:r>
              <w:rPr>
                <w:rFonts w:hint="eastAsia" w:ascii="宋体" w:hAnsi="宋体" w:cs="宋体"/>
                <w:color w:val="auto"/>
                <w:kern w:val="2"/>
                <w:szCs w:val="21"/>
                <w:highlight w:val="none"/>
                <w:lang w:val="en-US" w:eastAsia="zh-CN"/>
              </w:rPr>
              <w:t>7</w:t>
            </w:r>
          </w:p>
        </w:tc>
        <w:tc>
          <w:tcPr>
            <w:tcW w:w="1178" w:type="dxa"/>
            <w:noWrap w:val="0"/>
            <w:vAlign w:val="center"/>
          </w:tcPr>
          <w:p w14:paraId="2B789F77">
            <w:pPr>
              <w:widowControl w:val="0"/>
              <w:adjustRightInd/>
              <w:snapToGrid/>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lang w:val="en-US" w:eastAsia="zh-CN"/>
              </w:rPr>
              <w:t>谈判</w:t>
            </w:r>
            <w:r>
              <w:rPr>
                <w:rFonts w:hint="eastAsia" w:ascii="宋体" w:hAnsi="宋体" w:eastAsia="宋体" w:cs="宋体"/>
                <w:color w:val="auto"/>
                <w:kern w:val="2"/>
                <w:szCs w:val="21"/>
                <w:highlight w:val="none"/>
              </w:rPr>
              <w:t>有效期</w:t>
            </w:r>
          </w:p>
        </w:tc>
        <w:tc>
          <w:tcPr>
            <w:tcW w:w="6627" w:type="dxa"/>
            <w:noWrap w:val="0"/>
            <w:vAlign w:val="center"/>
          </w:tcPr>
          <w:p w14:paraId="7345291B">
            <w:pPr>
              <w:widowControl w:val="0"/>
              <w:adjustRightInd/>
              <w:snapToGrid/>
              <w:spacing w:line="360" w:lineRule="auto"/>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自开标之日起90天。</w:t>
            </w:r>
          </w:p>
        </w:tc>
      </w:tr>
      <w:tr w14:paraId="4DE2A1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17" w:type="dxa"/>
            <w:noWrap w:val="0"/>
            <w:vAlign w:val="center"/>
          </w:tcPr>
          <w:p w14:paraId="0296F59E">
            <w:pPr>
              <w:widowControl w:val="0"/>
              <w:adjustRightInd/>
              <w:snapToGrid/>
              <w:spacing w:line="360" w:lineRule="auto"/>
              <w:jc w:val="center"/>
              <w:rPr>
                <w:rFonts w:hint="eastAsia" w:ascii="宋体" w:hAnsi="宋体" w:eastAsia="宋体" w:cs="宋体"/>
                <w:color w:val="auto"/>
                <w:kern w:val="2"/>
                <w:szCs w:val="21"/>
                <w:highlight w:val="none"/>
                <w:lang w:eastAsia="zh-CN"/>
              </w:rPr>
            </w:pPr>
            <w:r>
              <w:rPr>
                <w:rFonts w:hint="eastAsia" w:ascii="宋体" w:hAnsi="宋体" w:cs="宋体"/>
                <w:color w:val="auto"/>
                <w:kern w:val="2"/>
                <w:szCs w:val="21"/>
                <w:highlight w:val="none"/>
                <w:lang w:val="en-US" w:eastAsia="zh-CN"/>
              </w:rPr>
              <w:t>8</w:t>
            </w:r>
          </w:p>
        </w:tc>
        <w:tc>
          <w:tcPr>
            <w:tcW w:w="1178" w:type="dxa"/>
            <w:noWrap w:val="0"/>
            <w:vAlign w:val="center"/>
          </w:tcPr>
          <w:p w14:paraId="40D7B32A">
            <w:pPr>
              <w:widowControl w:val="0"/>
              <w:adjustRightInd/>
              <w:snapToGrid/>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合同条款</w:t>
            </w:r>
          </w:p>
        </w:tc>
        <w:tc>
          <w:tcPr>
            <w:tcW w:w="6627" w:type="dxa"/>
            <w:noWrap w:val="0"/>
            <w:vAlign w:val="center"/>
          </w:tcPr>
          <w:p w14:paraId="147955B0">
            <w:pPr>
              <w:widowControl w:val="0"/>
              <w:adjustRightInd/>
              <w:snapToGrid/>
              <w:spacing w:line="360" w:lineRule="auto"/>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供应商实质响应合同各条款。</w:t>
            </w:r>
          </w:p>
        </w:tc>
      </w:tr>
      <w:tr w14:paraId="051DFD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17" w:type="dxa"/>
            <w:noWrap w:val="0"/>
            <w:vAlign w:val="center"/>
          </w:tcPr>
          <w:p w14:paraId="6A7E4F99">
            <w:pPr>
              <w:widowControl w:val="0"/>
              <w:adjustRightInd/>
              <w:snapToGrid/>
              <w:spacing w:line="360" w:lineRule="auto"/>
              <w:jc w:val="center"/>
              <w:rPr>
                <w:rFonts w:hint="eastAsia" w:ascii="宋体" w:hAnsi="宋体" w:eastAsia="宋体" w:cs="宋体"/>
                <w:color w:val="auto"/>
                <w:kern w:val="2"/>
                <w:szCs w:val="21"/>
                <w:highlight w:val="none"/>
                <w:lang w:eastAsia="zh-CN"/>
              </w:rPr>
            </w:pPr>
            <w:r>
              <w:rPr>
                <w:rFonts w:hint="eastAsia" w:ascii="宋体" w:hAnsi="宋体" w:cs="宋体"/>
                <w:color w:val="auto"/>
                <w:kern w:val="2"/>
                <w:szCs w:val="21"/>
                <w:highlight w:val="none"/>
                <w:lang w:val="en-US" w:eastAsia="zh-CN"/>
              </w:rPr>
              <w:t>9</w:t>
            </w:r>
          </w:p>
        </w:tc>
        <w:tc>
          <w:tcPr>
            <w:tcW w:w="1178" w:type="dxa"/>
            <w:noWrap w:val="0"/>
            <w:vAlign w:val="center"/>
          </w:tcPr>
          <w:p w14:paraId="16145A63">
            <w:pPr>
              <w:widowControl w:val="0"/>
              <w:adjustRightInd/>
              <w:snapToGrid/>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其他</w:t>
            </w:r>
          </w:p>
        </w:tc>
        <w:tc>
          <w:tcPr>
            <w:tcW w:w="6627" w:type="dxa"/>
            <w:noWrap w:val="0"/>
            <w:vAlign w:val="center"/>
          </w:tcPr>
          <w:p w14:paraId="45C14077">
            <w:pPr>
              <w:widowControl w:val="0"/>
              <w:adjustRightInd/>
              <w:snapToGrid/>
              <w:spacing w:line="360" w:lineRule="auto"/>
              <w:jc w:val="left"/>
              <w:rPr>
                <w:rFonts w:hint="eastAsia" w:ascii="宋体" w:hAnsi="宋体" w:eastAsia="宋体" w:cs="宋体"/>
                <w:color w:val="auto"/>
                <w:kern w:val="2"/>
                <w:szCs w:val="21"/>
                <w:highlight w:val="none"/>
                <w:lang w:val="en-US" w:eastAsia="zh-CN"/>
              </w:rPr>
            </w:pPr>
            <w:r>
              <w:rPr>
                <w:rFonts w:hint="eastAsia" w:ascii="宋体" w:hAnsi="宋体" w:eastAsia="宋体" w:cs="宋体"/>
                <w:color w:val="auto"/>
                <w:kern w:val="2"/>
                <w:szCs w:val="21"/>
                <w:highlight w:val="none"/>
                <w:lang w:val="en-US" w:eastAsia="zh-CN"/>
              </w:rPr>
              <w:t>/</w:t>
            </w:r>
          </w:p>
        </w:tc>
      </w:tr>
    </w:tbl>
    <w:p w14:paraId="6BA0590A">
      <w:pPr>
        <w:rPr>
          <w:rFonts w:ascii="黑体" w:eastAsia="黑体"/>
          <w:color w:val="auto"/>
          <w:sz w:val="28"/>
          <w:szCs w:val="28"/>
          <w:highlight w:val="none"/>
        </w:rPr>
      </w:pPr>
      <w:r>
        <w:rPr>
          <w:rFonts w:ascii="黑体" w:eastAsia="黑体"/>
          <w:color w:val="auto"/>
          <w:sz w:val="28"/>
          <w:szCs w:val="28"/>
          <w:highlight w:val="none"/>
        </w:rPr>
        <w:br w:type="page"/>
      </w:r>
    </w:p>
    <w:p w14:paraId="4661F9B3">
      <w:pPr>
        <w:spacing w:before="0" w:after="0" w:line="360" w:lineRule="auto"/>
        <w:jc w:val="left"/>
        <w:outlineLvl w:val="9"/>
        <w:rPr>
          <w:rFonts w:hint="eastAsia" w:ascii="宋体" w:hAnsi="宋体"/>
          <w:b/>
          <w:bCs/>
          <w:color w:val="auto"/>
          <w:sz w:val="28"/>
          <w:szCs w:val="28"/>
          <w:highlight w:val="none"/>
        </w:rPr>
      </w:pPr>
      <w:r>
        <w:rPr>
          <w:rFonts w:hint="eastAsia" w:ascii="宋体" w:hAnsi="宋体"/>
          <w:b/>
          <w:bCs/>
          <w:color w:val="auto"/>
          <w:sz w:val="28"/>
          <w:szCs w:val="28"/>
          <w:highlight w:val="none"/>
          <w:lang w:val="en-US" w:eastAsia="zh-CN"/>
        </w:rPr>
        <w:t>二、技术</w:t>
      </w:r>
      <w:r>
        <w:rPr>
          <w:rFonts w:hint="eastAsia" w:ascii="宋体" w:hAnsi="宋体"/>
          <w:b/>
          <w:bCs/>
          <w:color w:val="auto"/>
          <w:sz w:val="28"/>
          <w:szCs w:val="28"/>
          <w:highlight w:val="none"/>
        </w:rPr>
        <w:t>需求书</w:t>
      </w:r>
    </w:p>
    <w:p w14:paraId="2668CA85">
      <w:pPr>
        <w:spacing w:before="0" w:after="0" w:line="360" w:lineRule="auto"/>
        <w:jc w:val="left"/>
        <w:outlineLvl w:val="9"/>
        <w:rPr>
          <w:rFonts w:hint="eastAsia" w:ascii="宋体" w:hAnsi="宋体" w:eastAsia="宋体"/>
          <w:b/>
          <w:bCs/>
          <w:color w:val="auto"/>
          <w:sz w:val="28"/>
          <w:szCs w:val="28"/>
          <w:highlight w:val="none"/>
          <w:lang w:eastAsia="zh-CN"/>
        </w:rPr>
      </w:pPr>
      <w:r>
        <w:rPr>
          <w:rFonts w:hint="eastAsia" w:ascii="宋体" w:hAnsi="宋体"/>
          <w:b/>
          <w:bCs/>
          <w:color w:val="auto"/>
          <w:sz w:val="22"/>
          <w:szCs w:val="22"/>
          <w:highlight w:val="none"/>
          <w:lang w:eastAsia="zh-CN"/>
        </w:rPr>
        <w:t>【</w:t>
      </w:r>
      <w:r>
        <w:rPr>
          <w:rFonts w:hint="eastAsia" w:ascii="宋体" w:hAnsi="宋体"/>
          <w:b/>
          <w:bCs/>
          <w:color w:val="auto"/>
          <w:sz w:val="22"/>
          <w:szCs w:val="22"/>
          <w:highlight w:val="none"/>
          <w:lang w:val="en-US" w:eastAsia="zh-CN"/>
        </w:rPr>
        <w:t>标包1适用</w:t>
      </w:r>
      <w:r>
        <w:rPr>
          <w:rFonts w:hint="eastAsia" w:ascii="宋体" w:hAnsi="宋体"/>
          <w:b/>
          <w:bCs/>
          <w:color w:val="auto"/>
          <w:sz w:val="22"/>
          <w:szCs w:val="22"/>
          <w:highlight w:val="none"/>
          <w:lang w:eastAsia="zh-CN"/>
        </w:rPr>
        <w:t>】</w:t>
      </w:r>
    </w:p>
    <w:p w14:paraId="7AB1E544">
      <w:pPr>
        <w:widowControl w:val="0"/>
        <w:autoSpaceDE w:val="0"/>
        <w:autoSpaceDN w:val="0"/>
        <w:snapToGrid/>
        <w:spacing w:before="50" w:after="50" w:line="400" w:lineRule="exact"/>
        <w:rPr>
          <w:rFonts w:hint="eastAsia" w:ascii="宋体" w:hAnsi="宋体" w:cs="宋体"/>
          <w:b/>
          <w:color w:val="auto"/>
          <w:sz w:val="21"/>
          <w:szCs w:val="21"/>
          <w:highlight w:val="none"/>
          <w:lang w:val="en-US" w:eastAsia="zh-CN"/>
        </w:rPr>
      </w:pPr>
      <w:r>
        <w:rPr>
          <w:rFonts w:hint="eastAsia" w:ascii="宋体" w:hAnsi="宋体" w:eastAsia="宋体" w:cs="宋体"/>
          <w:b/>
          <w:color w:val="auto"/>
          <w:sz w:val="21"/>
          <w:szCs w:val="21"/>
          <w:highlight w:val="none"/>
        </w:rPr>
        <w:t>一、</w:t>
      </w:r>
      <w:r>
        <w:rPr>
          <w:rFonts w:hint="eastAsia" w:ascii="宋体" w:hAnsi="宋体" w:cs="宋体"/>
          <w:b/>
          <w:color w:val="auto"/>
          <w:sz w:val="21"/>
          <w:szCs w:val="21"/>
          <w:highlight w:val="none"/>
          <w:lang w:val="en-US" w:eastAsia="zh-CN"/>
        </w:rPr>
        <w:t>总则</w:t>
      </w:r>
    </w:p>
    <w:p w14:paraId="713ED57D">
      <w:pPr>
        <w:widowControl w:val="0"/>
        <w:autoSpaceDE/>
        <w:autoSpaceDN/>
        <w:adjustRightInd/>
        <w:snapToGrid/>
        <w:spacing w:before="0" w:after="0"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1.本技术需求书用于“</w:t>
      </w:r>
      <w:r>
        <w:rPr>
          <w:rFonts w:hint="eastAsia" w:ascii="宋体" w:hAnsi="宋体" w:cs="宋体"/>
          <w:b w:val="0"/>
          <w:bCs/>
          <w:color w:val="auto"/>
          <w:sz w:val="21"/>
          <w:szCs w:val="21"/>
          <w:highlight w:val="none"/>
          <w:lang w:val="en-US" w:eastAsia="zh-CN"/>
        </w:rPr>
        <w:t>织金高原泉水务有限公司35%股权、债权资产包整体转让中介服务采购项目</w:t>
      </w:r>
      <w:r>
        <w:rPr>
          <w:rFonts w:hint="eastAsia" w:ascii="宋体" w:hAnsi="宋体" w:eastAsia="宋体" w:cs="宋体"/>
          <w:b w:val="0"/>
          <w:bCs/>
          <w:color w:val="auto"/>
          <w:sz w:val="21"/>
          <w:szCs w:val="21"/>
          <w:highlight w:val="none"/>
          <w:lang w:val="en-US" w:eastAsia="zh-CN"/>
        </w:rPr>
        <w:t>”，内容包括项目概况、服务内容、服务质量、服务期限和费用预算等方面的要求。</w:t>
      </w:r>
    </w:p>
    <w:p w14:paraId="369C9584">
      <w:pPr>
        <w:widowControl w:val="0"/>
        <w:autoSpaceDE/>
        <w:autoSpaceDN/>
        <w:adjustRightInd/>
        <w:snapToGrid/>
        <w:spacing w:before="0" w:after="0"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2.本技术需求书提出了最低限度的要求，并未对一切项目细节做出规定，也未充分引述有关标准和规范的条文，响应人应保证提供符合本技术规范书和最新法律法规、评估准则等相关规定的服务。</w:t>
      </w:r>
    </w:p>
    <w:p w14:paraId="20A6C606">
      <w:pPr>
        <w:widowControl w:val="0"/>
        <w:autoSpaceDE/>
        <w:autoSpaceDN/>
        <w:adjustRightInd/>
        <w:snapToGrid/>
        <w:spacing w:before="0" w:after="0"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如响应人没有以书面形式对本技术需求书的条文提出异议，采购人可认为响应人提供的服务应完全满足技术规范书的要求，如果有异议，应以书面形式明确提出，在征得采购人同意后，可对有关文件进行修改，如采购人不同意修改，仍以采购人意见为准。</w:t>
      </w:r>
    </w:p>
    <w:p w14:paraId="65536467">
      <w:pPr>
        <w:widowControl w:val="0"/>
        <w:autoSpaceDE/>
        <w:autoSpaceDN/>
        <w:adjustRightInd/>
        <w:snapToGrid/>
        <w:spacing w:before="0" w:after="0"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4.在签订合同之后，采购人保留对本技术需求书提出的补充要求和修改的权利，响应人应承诺予以配合，如提出修改，具体项目和条件由双方商定。</w:t>
      </w:r>
    </w:p>
    <w:p w14:paraId="00BDF07D">
      <w:pPr>
        <w:widowControl w:val="0"/>
        <w:autoSpaceDE/>
        <w:autoSpaceDN/>
        <w:adjustRightInd/>
        <w:snapToGrid/>
        <w:spacing w:before="0" w:after="0"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5.本技术规范书经双方认可后作为服务合同的附件，与合同正文具有同等效力。</w:t>
      </w:r>
    </w:p>
    <w:p w14:paraId="1F387E22">
      <w:pPr>
        <w:widowControl w:val="0"/>
        <w:autoSpaceDE w:val="0"/>
        <w:autoSpaceDN w:val="0"/>
        <w:snapToGrid/>
        <w:spacing w:before="50" w:after="50" w:line="400" w:lineRule="exact"/>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val="en-US" w:eastAsia="zh-CN"/>
        </w:rPr>
        <w:t>二、</w:t>
      </w:r>
      <w:r>
        <w:rPr>
          <w:rFonts w:hint="eastAsia" w:ascii="宋体" w:hAnsi="宋体" w:eastAsia="宋体" w:cs="宋体"/>
          <w:b/>
          <w:color w:val="auto"/>
          <w:sz w:val="21"/>
          <w:szCs w:val="21"/>
          <w:highlight w:val="none"/>
        </w:rPr>
        <w:t>项目</w:t>
      </w:r>
      <w:r>
        <w:rPr>
          <w:rFonts w:hint="eastAsia" w:ascii="宋体" w:hAnsi="宋体" w:cs="宋体"/>
          <w:b/>
          <w:color w:val="auto"/>
          <w:sz w:val="21"/>
          <w:szCs w:val="21"/>
          <w:highlight w:val="none"/>
          <w:lang w:val="en-US" w:eastAsia="zh-CN"/>
        </w:rPr>
        <w:t>概况</w:t>
      </w:r>
    </w:p>
    <w:p w14:paraId="0CF141B2">
      <w:pPr>
        <w:widowControl w:val="0"/>
        <w:autoSpaceDE/>
        <w:autoSpaceDN/>
        <w:adjustRightInd/>
        <w:snapToGrid/>
        <w:spacing w:before="0" w:after="0"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bookmarkStart w:id="137" w:name="_Toc76376681"/>
      <w:bookmarkStart w:id="138" w:name="_Toc388902631"/>
      <w:bookmarkStart w:id="139" w:name="_Toc72425374"/>
      <w:r>
        <w:rPr>
          <w:rFonts w:hint="eastAsia" w:asciiTheme="minorEastAsia" w:hAnsiTheme="minorEastAsia" w:eastAsiaTheme="minorEastAsia" w:cstheme="minorEastAsia"/>
          <w:color w:val="auto"/>
          <w:sz w:val="21"/>
          <w:szCs w:val="21"/>
          <w:highlight w:val="none"/>
          <w:lang w:val="en-US" w:eastAsia="zh-CN"/>
        </w:rPr>
        <w:t>我司需对外出售所持有的</w:t>
      </w:r>
      <w:r>
        <w:rPr>
          <w:rFonts w:hint="eastAsia" w:ascii="宋体" w:hAnsi="宋体" w:cs="宋体"/>
          <w:b w:val="0"/>
          <w:bCs/>
          <w:color w:val="auto"/>
          <w:sz w:val="21"/>
          <w:szCs w:val="21"/>
          <w:highlight w:val="none"/>
          <w:lang w:val="en-US" w:eastAsia="zh-CN"/>
        </w:rPr>
        <w:t>织金高原泉水务有限公司35%股权、债权资产包</w:t>
      </w:r>
      <w:r>
        <w:rPr>
          <w:rFonts w:hint="eastAsia" w:asciiTheme="minorEastAsia" w:hAnsiTheme="minorEastAsia" w:eastAsiaTheme="minorEastAsia" w:cstheme="minorEastAsia"/>
          <w:color w:val="auto"/>
          <w:sz w:val="21"/>
          <w:szCs w:val="21"/>
          <w:highlight w:val="none"/>
          <w:lang w:val="en-US" w:eastAsia="zh-CN"/>
        </w:rPr>
        <w:t>。为保障上述股权、债权转让工作合法合规、顺利推进，需聘请专业服务单位提供股权、债权价值评估服务。</w:t>
      </w:r>
    </w:p>
    <w:p w14:paraId="123D5361">
      <w:pPr>
        <w:widowControl w:val="0"/>
        <w:autoSpaceDE w:val="0"/>
        <w:autoSpaceDN w:val="0"/>
        <w:snapToGrid/>
        <w:spacing w:before="50" w:after="50" w:line="400" w:lineRule="exact"/>
        <w:ind w:firstLine="0" w:firstLineChars="0"/>
        <w:rPr>
          <w:rFonts w:hint="eastAsia" w:asciiTheme="minorEastAsia" w:hAnsiTheme="minorEastAsia" w:eastAsiaTheme="minorEastAsia" w:cstheme="minorEastAsia"/>
          <w:color w:val="auto"/>
          <w:sz w:val="21"/>
          <w:szCs w:val="21"/>
          <w:highlight w:val="none"/>
        </w:rPr>
      </w:pPr>
      <w:r>
        <w:rPr>
          <w:rFonts w:hint="eastAsia" w:ascii="宋体" w:hAnsi="宋体" w:cs="宋体"/>
          <w:b/>
          <w:bCs w:val="0"/>
          <w:color w:val="auto"/>
          <w:kern w:val="0"/>
          <w:sz w:val="21"/>
          <w:szCs w:val="21"/>
          <w:highlight w:val="none"/>
          <w:lang w:val="en-US" w:eastAsia="zh-CN" w:bidi="ar-SA"/>
        </w:rPr>
        <w:t>三</w:t>
      </w:r>
      <w:r>
        <w:rPr>
          <w:rFonts w:hint="eastAsia" w:ascii="宋体" w:hAnsi="宋体" w:eastAsia="宋体" w:cs="宋体"/>
          <w:b/>
          <w:bCs w:val="0"/>
          <w:color w:val="auto"/>
          <w:kern w:val="0"/>
          <w:sz w:val="21"/>
          <w:szCs w:val="21"/>
          <w:highlight w:val="none"/>
          <w:lang w:val="en-US" w:eastAsia="zh-CN" w:bidi="ar-SA"/>
        </w:rPr>
        <w:t>、</w:t>
      </w:r>
      <w:r>
        <w:rPr>
          <w:rFonts w:hint="eastAsia" w:ascii="宋体" w:hAnsi="宋体" w:cs="宋体"/>
          <w:b/>
          <w:bCs w:val="0"/>
          <w:color w:val="auto"/>
          <w:kern w:val="0"/>
          <w:sz w:val="21"/>
          <w:szCs w:val="21"/>
          <w:highlight w:val="none"/>
          <w:lang w:val="en-US" w:eastAsia="zh-CN" w:bidi="ar-SA"/>
        </w:rPr>
        <w:t>服务</w:t>
      </w:r>
      <w:r>
        <w:rPr>
          <w:rFonts w:hint="eastAsia" w:ascii="宋体" w:hAnsi="宋体" w:eastAsia="宋体" w:cs="宋体"/>
          <w:b/>
          <w:bCs w:val="0"/>
          <w:color w:val="auto"/>
          <w:kern w:val="0"/>
          <w:sz w:val="21"/>
          <w:szCs w:val="21"/>
          <w:highlight w:val="none"/>
          <w:lang w:val="en-US" w:eastAsia="zh-CN" w:bidi="ar-SA"/>
        </w:rPr>
        <w:t>内容</w:t>
      </w:r>
      <w:r>
        <w:rPr>
          <w:rFonts w:hint="eastAsia" w:asciiTheme="minorEastAsia" w:hAnsiTheme="minorEastAsia" w:eastAsiaTheme="minorEastAsia" w:cstheme="minorEastAsia"/>
          <w:b/>
          <w:bCs/>
          <w:color w:val="auto"/>
          <w:sz w:val="21"/>
          <w:szCs w:val="21"/>
          <w:highlight w:val="none"/>
        </w:rPr>
        <w:t xml:space="preserve"> </w:t>
      </w:r>
      <w:r>
        <w:rPr>
          <w:rFonts w:hint="eastAsia" w:asciiTheme="minorEastAsia" w:hAnsiTheme="minorEastAsia" w:eastAsiaTheme="minorEastAsia" w:cstheme="minorEastAsia"/>
          <w:color w:val="auto"/>
          <w:sz w:val="21"/>
          <w:szCs w:val="21"/>
          <w:highlight w:val="none"/>
        </w:rPr>
        <w:t xml:space="preserve">                          </w:t>
      </w:r>
    </w:p>
    <w:p w14:paraId="0BCEB3F4">
      <w:pPr>
        <w:numPr>
          <w:ilvl w:val="255"/>
          <w:numId w:val="0"/>
        </w:num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w:t>
      </w:r>
      <w:r>
        <w:rPr>
          <w:rFonts w:hint="eastAsia" w:asciiTheme="minorEastAsia" w:hAnsiTheme="minorEastAsia" w:eastAsiaTheme="minorEastAsia" w:cstheme="minorEastAsia"/>
          <w:color w:val="auto"/>
          <w:sz w:val="21"/>
          <w:szCs w:val="21"/>
          <w:highlight w:val="none"/>
          <w:lang w:val="en-US" w:eastAsia="zh-CN"/>
        </w:rPr>
        <w:t>基准日</w:t>
      </w:r>
      <w:r>
        <w:rPr>
          <w:rFonts w:hint="eastAsia" w:ascii="宋体" w:hAnsi="宋体" w:eastAsia="宋体" w:cs="宋体"/>
          <w:b w:val="0"/>
          <w:bCs w:val="0"/>
          <w:color w:val="auto"/>
          <w:sz w:val="21"/>
          <w:szCs w:val="21"/>
          <w:highlight w:val="none"/>
          <w:lang w:val="en-US" w:eastAsia="zh-CN"/>
        </w:rPr>
        <w:t>审定的会计报表，对项目公司出具公司整体估值报告。</w:t>
      </w:r>
    </w:p>
    <w:bookmarkEnd w:id="137"/>
    <w:bookmarkEnd w:id="138"/>
    <w:bookmarkEnd w:id="139"/>
    <w:p w14:paraId="78E9AB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textAlignment w:val="auto"/>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四、服务质量</w:t>
      </w:r>
    </w:p>
    <w:p w14:paraId="1E1245B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1.服务质量要求</w:t>
      </w:r>
    </w:p>
    <w:p w14:paraId="6AEB7225">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响应人须保证按照相关要求遵守职业道德规范，恪守独立、客观、公正的原则，确保其履行职责所需要的专业胜任能力，以应有的职业谨慎态度执行评估业务。</w:t>
      </w:r>
    </w:p>
    <w:p w14:paraId="746F8A40">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响应人应当在实施必要的评估程序后，以经过核实的证据为依据，分析、评价审核结论，形成评估意见，出具评估报告。保证评估报告的真实性、准确性、合法性。</w:t>
      </w:r>
    </w:p>
    <w:p w14:paraId="0781BEB9">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响应人可在评估过程中合理分配工作量和工作时间，必须保证在合同规定的时间内认真负责地完成合同范围内的服务工作并出具合格的报告。</w:t>
      </w:r>
    </w:p>
    <w:p w14:paraId="2508E269">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对采购人或被评估单位所提供的有关文件资料和执业过程中获知的商业秘密，应妥善保管并负保密责任。除法律、法规另有规定的以外，未经采购人书面许可，响应人不得将评估报告内容，以及采购人或被评估单位提供的有关文件资料和执业过程中获知的商业秘密向第三方提供或者公开。上述保密义务，在本项目终止或合同解除之后仍需履行。</w:t>
      </w:r>
    </w:p>
    <w:p w14:paraId="151F09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2.</w:t>
      </w:r>
      <w:r>
        <w:rPr>
          <w:rFonts w:hint="eastAsia" w:ascii="宋体" w:hAnsi="宋体" w:cs="宋体"/>
          <w:b/>
          <w:bCs/>
          <w:color w:val="auto"/>
          <w:szCs w:val="21"/>
          <w:highlight w:val="none"/>
        </w:rPr>
        <w:t>服务人员要求</w:t>
      </w:r>
    </w:p>
    <w:p w14:paraId="1F07875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kern w:val="10"/>
          <w:sz w:val="21"/>
          <w:szCs w:val="21"/>
          <w:highlight w:val="none"/>
          <w:lang w:val="en-US" w:eastAsia="zh-CN" w:bidi="ar-SA"/>
        </w:rPr>
      </w:pPr>
      <w:r>
        <w:rPr>
          <w:rFonts w:hint="eastAsia" w:ascii="宋体" w:hAnsi="宋体" w:cs="宋体"/>
          <w:color w:val="auto"/>
          <w:sz w:val="21"/>
          <w:szCs w:val="21"/>
          <w:highlight w:val="none"/>
          <w:lang w:val="en-US" w:eastAsia="zh-CN"/>
        </w:rPr>
        <w:t>本</w:t>
      </w:r>
      <w:r>
        <w:rPr>
          <w:rFonts w:hint="eastAsia" w:ascii="宋体" w:hAnsi="宋体" w:eastAsia="宋体" w:cs="宋体"/>
          <w:color w:val="auto"/>
          <w:sz w:val="21"/>
          <w:szCs w:val="21"/>
          <w:highlight w:val="none"/>
          <w:lang w:val="en-US" w:eastAsia="zh-CN"/>
        </w:rPr>
        <w:t>项目</w:t>
      </w:r>
      <w:r>
        <w:rPr>
          <w:rFonts w:hint="eastAsia" w:ascii="宋体" w:hAnsi="宋体" w:cs="宋体"/>
          <w:color w:val="auto"/>
          <w:sz w:val="21"/>
          <w:szCs w:val="21"/>
          <w:highlight w:val="none"/>
          <w:lang w:val="en-US" w:eastAsia="zh-CN"/>
        </w:rPr>
        <w:t>对响应人</w:t>
      </w:r>
      <w:r>
        <w:rPr>
          <w:rFonts w:hint="eastAsia" w:ascii="宋体" w:hAnsi="宋体" w:eastAsia="宋体" w:cs="宋体"/>
          <w:color w:val="auto"/>
          <w:sz w:val="21"/>
          <w:szCs w:val="21"/>
          <w:highlight w:val="none"/>
          <w:lang w:val="en-US" w:eastAsia="zh-CN"/>
        </w:rPr>
        <w:t>服务专业要求高，</w:t>
      </w:r>
      <w:r>
        <w:rPr>
          <w:rFonts w:hint="eastAsia" w:ascii="宋体" w:hAnsi="宋体" w:cs="宋体"/>
          <w:color w:val="auto"/>
          <w:sz w:val="21"/>
          <w:szCs w:val="21"/>
          <w:highlight w:val="none"/>
          <w:lang w:val="en-US" w:eastAsia="zh-CN"/>
        </w:rPr>
        <w:t>响应人</w:t>
      </w:r>
      <w:r>
        <w:rPr>
          <w:rFonts w:hint="eastAsia" w:ascii="宋体" w:hAnsi="宋体" w:eastAsia="宋体" w:cs="宋体"/>
          <w:color w:val="auto"/>
          <w:sz w:val="21"/>
          <w:szCs w:val="21"/>
          <w:highlight w:val="none"/>
          <w:lang w:val="en-US" w:eastAsia="zh-CN"/>
        </w:rPr>
        <w:t>必须配备经验丰富、数量足够的专业人员，确保</w:t>
      </w:r>
      <w:r>
        <w:rPr>
          <w:rFonts w:hint="eastAsia" w:ascii="宋体" w:hAnsi="宋体" w:cs="宋体"/>
          <w:color w:val="auto"/>
          <w:sz w:val="21"/>
          <w:szCs w:val="21"/>
          <w:highlight w:val="none"/>
          <w:lang w:val="en-US" w:eastAsia="zh-CN"/>
        </w:rPr>
        <w:t>评估</w:t>
      </w:r>
      <w:r>
        <w:rPr>
          <w:rFonts w:hint="eastAsia" w:ascii="宋体" w:hAnsi="宋体" w:eastAsia="宋体" w:cs="宋体"/>
          <w:color w:val="auto"/>
          <w:sz w:val="21"/>
          <w:szCs w:val="21"/>
          <w:highlight w:val="none"/>
          <w:lang w:val="en-US" w:eastAsia="zh-CN"/>
        </w:rPr>
        <w:t>工作质量。</w:t>
      </w:r>
    </w:p>
    <w:p w14:paraId="68AD209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highlight w:val="none"/>
        </w:rPr>
      </w:pPr>
      <w:r>
        <w:rPr>
          <w:rFonts w:hint="eastAsia" w:ascii="宋体" w:hAnsi="宋体" w:eastAsia="宋体" w:cs="宋体"/>
          <w:color w:val="auto"/>
          <w:sz w:val="21"/>
          <w:szCs w:val="21"/>
          <w:highlight w:val="none"/>
          <w:lang w:val="en-US" w:eastAsia="zh-CN"/>
        </w:rPr>
        <w:t>服务团队项目负责人要求具有</w:t>
      </w:r>
      <w:r>
        <w:rPr>
          <w:rFonts w:hint="eastAsia" w:ascii="宋体" w:hAnsi="宋体" w:cs="宋体"/>
          <w:color w:val="auto"/>
          <w:sz w:val="22"/>
          <w:szCs w:val="22"/>
          <w:highlight w:val="none"/>
          <w:lang w:val="en-US" w:eastAsia="zh-CN"/>
        </w:rPr>
        <w:t>资产评估师证书</w:t>
      </w:r>
      <w:r>
        <w:rPr>
          <w:rFonts w:hint="eastAsia" w:ascii="宋体" w:hAnsi="宋体" w:eastAsia="宋体" w:cs="宋体"/>
          <w:color w:val="auto"/>
          <w:sz w:val="21"/>
          <w:szCs w:val="21"/>
          <w:highlight w:val="none"/>
          <w:lang w:val="en-US" w:eastAsia="zh-CN"/>
        </w:rPr>
        <w:t>，执业经验</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年以上。</w:t>
      </w:r>
    </w:p>
    <w:p w14:paraId="600F9DA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五、</w:t>
      </w:r>
      <w:r>
        <w:rPr>
          <w:rFonts w:hint="eastAsia" w:ascii="宋体" w:hAnsi="宋体" w:eastAsia="宋体" w:cs="宋体"/>
          <w:b/>
          <w:bCs/>
          <w:color w:val="auto"/>
          <w:sz w:val="21"/>
          <w:szCs w:val="21"/>
          <w:highlight w:val="none"/>
          <w:lang w:val="en-US" w:eastAsia="zh-CN"/>
        </w:rPr>
        <w:t>服务</w:t>
      </w:r>
      <w:r>
        <w:rPr>
          <w:rFonts w:hint="eastAsia" w:ascii="宋体" w:hAnsi="宋体" w:eastAsia="宋体" w:cs="宋体"/>
          <w:b/>
          <w:bCs/>
          <w:color w:val="auto"/>
          <w:kern w:val="0"/>
          <w:sz w:val="21"/>
          <w:szCs w:val="21"/>
          <w:highlight w:val="none"/>
          <w:lang w:val="en-US" w:eastAsia="zh-CN"/>
        </w:rPr>
        <w:t>期限</w:t>
      </w:r>
    </w:p>
    <w:p w14:paraId="1F2AA624">
      <w:pPr>
        <w:pStyle w:val="113"/>
        <w:ind w:firstLine="420" w:firstLineChars="20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项目合同签订之日起至项目相关报告</w:t>
      </w:r>
      <w:r>
        <w:rPr>
          <w:rFonts w:hint="eastAsia" w:ascii="宋体" w:hAnsi="宋体" w:eastAsia="宋体" w:cs="宋体"/>
          <w:color w:val="auto"/>
          <w:kern w:val="0"/>
          <w:szCs w:val="21"/>
          <w:highlight w:val="none"/>
          <w:lang w:val="en-US" w:eastAsia="zh-CN"/>
        </w:rPr>
        <w:t>提交采购人</w:t>
      </w:r>
      <w:r>
        <w:rPr>
          <w:rFonts w:hint="eastAsia" w:ascii="宋体" w:hAnsi="宋体" w:eastAsia="宋体" w:cs="宋体"/>
          <w:color w:val="auto"/>
          <w:kern w:val="0"/>
          <w:szCs w:val="21"/>
          <w:highlight w:val="none"/>
        </w:rPr>
        <w:t>并由</w:t>
      </w:r>
      <w:r>
        <w:rPr>
          <w:rFonts w:hint="eastAsia" w:ascii="宋体" w:hAnsi="宋体" w:eastAsia="宋体" w:cs="宋体"/>
          <w:color w:val="auto"/>
          <w:kern w:val="0"/>
          <w:szCs w:val="21"/>
          <w:highlight w:val="none"/>
          <w:lang w:val="en-US" w:eastAsia="zh-CN"/>
        </w:rPr>
        <w:t>采购人</w:t>
      </w:r>
      <w:r>
        <w:rPr>
          <w:rFonts w:hint="eastAsia" w:ascii="宋体" w:hAnsi="宋体" w:eastAsia="宋体" w:cs="宋体"/>
          <w:color w:val="auto"/>
          <w:kern w:val="0"/>
          <w:szCs w:val="21"/>
          <w:highlight w:val="none"/>
        </w:rPr>
        <w:t>确认无误时止</w:t>
      </w:r>
      <w:r>
        <w:rPr>
          <w:rFonts w:hint="eastAsia" w:ascii="宋体" w:hAnsi="宋体" w:eastAsia="宋体" w:cs="宋体"/>
          <w:color w:val="auto"/>
          <w:kern w:val="0"/>
          <w:szCs w:val="21"/>
          <w:highlight w:val="none"/>
          <w:lang w:eastAsia="zh-CN"/>
        </w:rPr>
        <w:t>。</w:t>
      </w:r>
    </w:p>
    <w:p w14:paraId="2C8E0C90">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br w:type="page"/>
      </w:r>
    </w:p>
    <w:p w14:paraId="29EFE77B">
      <w:pPr>
        <w:spacing w:before="0" w:after="0" w:line="360" w:lineRule="auto"/>
        <w:jc w:val="left"/>
        <w:outlineLvl w:val="9"/>
        <w:rPr>
          <w:rFonts w:hint="eastAsia" w:ascii="宋体" w:hAnsi="宋体" w:eastAsia="宋体"/>
          <w:color w:val="auto"/>
          <w:sz w:val="28"/>
          <w:szCs w:val="28"/>
          <w:highlight w:val="none"/>
          <w:lang w:eastAsia="zh-CN"/>
        </w:rPr>
      </w:pPr>
      <w:r>
        <w:rPr>
          <w:rFonts w:hint="eastAsia" w:ascii="宋体" w:hAnsi="宋体"/>
          <w:color w:val="auto"/>
          <w:sz w:val="22"/>
          <w:szCs w:val="22"/>
          <w:highlight w:val="none"/>
          <w:lang w:eastAsia="zh-CN"/>
        </w:rPr>
        <w:t>【</w:t>
      </w:r>
      <w:r>
        <w:rPr>
          <w:rFonts w:hint="eastAsia" w:ascii="宋体" w:hAnsi="宋体"/>
          <w:color w:val="auto"/>
          <w:sz w:val="22"/>
          <w:szCs w:val="22"/>
          <w:highlight w:val="none"/>
          <w:lang w:val="en-US" w:eastAsia="zh-CN"/>
        </w:rPr>
        <w:t>标包2适用</w:t>
      </w:r>
      <w:r>
        <w:rPr>
          <w:rFonts w:hint="eastAsia" w:ascii="宋体" w:hAnsi="宋体"/>
          <w:color w:val="auto"/>
          <w:sz w:val="22"/>
          <w:szCs w:val="22"/>
          <w:highlight w:val="none"/>
          <w:lang w:eastAsia="zh-CN"/>
        </w:rPr>
        <w:t>】</w:t>
      </w:r>
    </w:p>
    <w:p w14:paraId="38339CC4">
      <w:pPr>
        <w:widowControl w:val="0"/>
        <w:autoSpaceDE w:val="0"/>
        <w:autoSpaceDN w:val="0"/>
        <w:snapToGrid/>
        <w:spacing w:before="50" w:after="50" w:line="400" w:lineRule="exact"/>
        <w:rPr>
          <w:rFonts w:hint="eastAsia" w:ascii="宋体" w:hAnsi="宋体" w:cs="宋体"/>
          <w:b/>
          <w:color w:val="auto"/>
          <w:sz w:val="21"/>
          <w:szCs w:val="21"/>
          <w:highlight w:val="none"/>
          <w:lang w:val="en-US" w:eastAsia="zh-CN"/>
        </w:rPr>
      </w:pPr>
      <w:r>
        <w:rPr>
          <w:rFonts w:hint="eastAsia" w:ascii="宋体" w:hAnsi="宋体" w:eastAsia="宋体" w:cs="宋体"/>
          <w:b/>
          <w:color w:val="auto"/>
          <w:sz w:val="21"/>
          <w:szCs w:val="21"/>
          <w:highlight w:val="none"/>
        </w:rPr>
        <w:t>一、</w:t>
      </w:r>
      <w:r>
        <w:rPr>
          <w:rFonts w:hint="eastAsia" w:ascii="宋体" w:hAnsi="宋体" w:cs="宋体"/>
          <w:b/>
          <w:color w:val="auto"/>
          <w:sz w:val="21"/>
          <w:szCs w:val="21"/>
          <w:highlight w:val="none"/>
          <w:lang w:val="en-US" w:eastAsia="zh-CN"/>
        </w:rPr>
        <w:t>总则</w:t>
      </w:r>
    </w:p>
    <w:p w14:paraId="302C9C14">
      <w:pPr>
        <w:widowControl w:val="0"/>
        <w:autoSpaceDE/>
        <w:autoSpaceDN/>
        <w:adjustRightInd/>
        <w:snapToGrid/>
        <w:spacing w:before="0" w:after="0"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1.本技术需求书用于“</w:t>
      </w:r>
      <w:r>
        <w:rPr>
          <w:rFonts w:hint="eastAsia" w:ascii="宋体" w:hAnsi="宋体" w:cs="宋体"/>
          <w:b w:val="0"/>
          <w:bCs/>
          <w:color w:val="auto"/>
          <w:sz w:val="21"/>
          <w:szCs w:val="21"/>
          <w:highlight w:val="none"/>
          <w:lang w:val="en-US" w:eastAsia="zh-CN"/>
        </w:rPr>
        <w:t>织金高原泉水务有限公司35%股权、债权资产包整体转让中介服务采购项目</w:t>
      </w:r>
      <w:r>
        <w:rPr>
          <w:rFonts w:hint="eastAsia" w:ascii="宋体" w:hAnsi="宋体" w:eastAsia="宋体" w:cs="宋体"/>
          <w:b w:val="0"/>
          <w:bCs/>
          <w:color w:val="auto"/>
          <w:sz w:val="21"/>
          <w:szCs w:val="21"/>
          <w:highlight w:val="none"/>
          <w:lang w:val="en-US" w:eastAsia="zh-CN"/>
        </w:rPr>
        <w:t>”项目，内容包括项目概况、服务内容、服务质量、服务期限和费用预算等方面的要求。</w:t>
      </w:r>
    </w:p>
    <w:p w14:paraId="5A63DAA9">
      <w:pPr>
        <w:widowControl w:val="0"/>
        <w:autoSpaceDE/>
        <w:autoSpaceDN/>
        <w:adjustRightInd/>
        <w:snapToGrid/>
        <w:spacing w:before="0" w:after="0"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2.本技术需求书提出了最低限度的要求，并未对一切项目细节做出规定，也未充分引述有关标准和规范的条文，响应人应保证提供符合本技术规范书和最新法律法规、审计准则等相关规定的服务。</w:t>
      </w:r>
    </w:p>
    <w:p w14:paraId="55EA1922">
      <w:pPr>
        <w:widowControl w:val="0"/>
        <w:autoSpaceDE/>
        <w:autoSpaceDN/>
        <w:adjustRightInd/>
        <w:snapToGrid/>
        <w:spacing w:before="0" w:after="0"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如响应人没有以书面形式对本技术需求书的条文提出异议，采购人可认为响应人提供的服务应完全满足技术规范书的要求，如果有异议，应以书面形式明确提出，在征得采购人同意后，可对有关文件进行修改，如采购人不同意修改，仍以采购人意见为准。</w:t>
      </w:r>
    </w:p>
    <w:p w14:paraId="50427E25">
      <w:pPr>
        <w:widowControl w:val="0"/>
        <w:autoSpaceDE/>
        <w:autoSpaceDN/>
        <w:adjustRightInd/>
        <w:snapToGrid/>
        <w:spacing w:before="0" w:after="0"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4.在签订合同之后，采购人保留对本技术需求书提出的补充要求和修改的权利，响应人应承诺予以配合，如提出修改，具体项目和条件由双方商定。</w:t>
      </w:r>
    </w:p>
    <w:p w14:paraId="715A5958">
      <w:pPr>
        <w:widowControl w:val="0"/>
        <w:autoSpaceDE/>
        <w:autoSpaceDN/>
        <w:adjustRightInd/>
        <w:snapToGrid/>
        <w:spacing w:before="0" w:after="0"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5.本技术规范书经双方认可后作为服务合同的附件，与合同正文具有同等效力。</w:t>
      </w:r>
    </w:p>
    <w:p w14:paraId="7BA82347">
      <w:pPr>
        <w:widowControl w:val="0"/>
        <w:autoSpaceDE w:val="0"/>
        <w:autoSpaceDN w:val="0"/>
        <w:snapToGrid/>
        <w:spacing w:before="50" w:after="50" w:line="400" w:lineRule="exact"/>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val="en-US" w:eastAsia="zh-CN"/>
        </w:rPr>
        <w:t>二、</w:t>
      </w:r>
      <w:r>
        <w:rPr>
          <w:rFonts w:hint="eastAsia" w:ascii="宋体" w:hAnsi="宋体" w:eastAsia="宋体" w:cs="宋体"/>
          <w:b/>
          <w:color w:val="auto"/>
          <w:sz w:val="21"/>
          <w:szCs w:val="21"/>
          <w:highlight w:val="none"/>
        </w:rPr>
        <w:t>项目</w:t>
      </w:r>
      <w:r>
        <w:rPr>
          <w:rFonts w:hint="eastAsia" w:ascii="宋体" w:hAnsi="宋体" w:cs="宋体"/>
          <w:b/>
          <w:color w:val="auto"/>
          <w:sz w:val="21"/>
          <w:szCs w:val="21"/>
          <w:highlight w:val="none"/>
          <w:lang w:val="en-US" w:eastAsia="zh-CN"/>
        </w:rPr>
        <w:t>概况</w:t>
      </w:r>
    </w:p>
    <w:p w14:paraId="4434768E">
      <w:pPr>
        <w:widowControl w:val="0"/>
        <w:autoSpaceDE/>
        <w:autoSpaceDN/>
        <w:adjustRightInd/>
        <w:snapToGrid/>
        <w:spacing w:before="0" w:after="0"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我司需对外出售所持有的</w:t>
      </w:r>
      <w:r>
        <w:rPr>
          <w:rFonts w:hint="eastAsia" w:ascii="宋体" w:hAnsi="宋体" w:cs="宋体"/>
          <w:b w:val="0"/>
          <w:bCs/>
          <w:color w:val="auto"/>
          <w:sz w:val="21"/>
          <w:szCs w:val="21"/>
          <w:highlight w:val="none"/>
          <w:lang w:val="en-US" w:eastAsia="zh-CN"/>
        </w:rPr>
        <w:t>织金高原泉水务有限公司35%股权、债权资产包</w:t>
      </w:r>
      <w:r>
        <w:rPr>
          <w:rFonts w:hint="eastAsia" w:asciiTheme="minorEastAsia" w:hAnsiTheme="minorEastAsia" w:eastAsiaTheme="minorEastAsia" w:cstheme="minorEastAsia"/>
          <w:color w:val="auto"/>
          <w:sz w:val="21"/>
          <w:szCs w:val="21"/>
          <w:highlight w:val="none"/>
          <w:lang w:val="en-US" w:eastAsia="zh-CN"/>
        </w:rPr>
        <w:t>。为保障上述股权、债权转让工作合法合规、顺利推进，需聘请专业服务单位提供清产核资审计服务。</w:t>
      </w:r>
    </w:p>
    <w:p w14:paraId="7BB21EC7">
      <w:pPr>
        <w:widowControl w:val="0"/>
        <w:autoSpaceDE w:val="0"/>
        <w:autoSpaceDN w:val="0"/>
        <w:snapToGrid/>
        <w:spacing w:before="50" w:after="50" w:line="400" w:lineRule="exact"/>
        <w:ind w:firstLine="0" w:firstLineChars="0"/>
        <w:rPr>
          <w:rFonts w:hint="eastAsia" w:asciiTheme="minorEastAsia" w:hAnsiTheme="minorEastAsia" w:eastAsiaTheme="minorEastAsia" w:cstheme="minorEastAsia"/>
          <w:color w:val="auto"/>
          <w:sz w:val="21"/>
          <w:szCs w:val="21"/>
          <w:highlight w:val="none"/>
        </w:rPr>
      </w:pPr>
      <w:r>
        <w:rPr>
          <w:rFonts w:hint="eastAsia" w:ascii="宋体" w:hAnsi="宋体" w:cs="宋体"/>
          <w:b/>
          <w:bCs w:val="0"/>
          <w:color w:val="auto"/>
          <w:kern w:val="0"/>
          <w:sz w:val="21"/>
          <w:szCs w:val="21"/>
          <w:highlight w:val="none"/>
          <w:lang w:val="en-US" w:eastAsia="zh-CN" w:bidi="ar-SA"/>
        </w:rPr>
        <w:t>三</w:t>
      </w:r>
      <w:r>
        <w:rPr>
          <w:rFonts w:hint="eastAsia" w:ascii="宋体" w:hAnsi="宋体" w:eastAsia="宋体" w:cs="宋体"/>
          <w:b/>
          <w:bCs w:val="0"/>
          <w:color w:val="auto"/>
          <w:kern w:val="0"/>
          <w:sz w:val="21"/>
          <w:szCs w:val="21"/>
          <w:highlight w:val="none"/>
          <w:lang w:val="en-US" w:eastAsia="zh-CN" w:bidi="ar-SA"/>
        </w:rPr>
        <w:t>、</w:t>
      </w:r>
      <w:r>
        <w:rPr>
          <w:rFonts w:hint="eastAsia" w:ascii="宋体" w:hAnsi="宋体" w:cs="宋体"/>
          <w:b/>
          <w:bCs w:val="0"/>
          <w:color w:val="auto"/>
          <w:kern w:val="0"/>
          <w:sz w:val="21"/>
          <w:szCs w:val="21"/>
          <w:highlight w:val="none"/>
          <w:lang w:val="en-US" w:eastAsia="zh-CN" w:bidi="ar-SA"/>
        </w:rPr>
        <w:t>服务</w:t>
      </w:r>
      <w:r>
        <w:rPr>
          <w:rFonts w:hint="eastAsia" w:ascii="宋体" w:hAnsi="宋体" w:eastAsia="宋体" w:cs="宋体"/>
          <w:b/>
          <w:bCs w:val="0"/>
          <w:color w:val="auto"/>
          <w:kern w:val="0"/>
          <w:sz w:val="21"/>
          <w:szCs w:val="21"/>
          <w:highlight w:val="none"/>
          <w:lang w:val="en-US" w:eastAsia="zh-CN" w:bidi="ar-SA"/>
        </w:rPr>
        <w:t>内容</w:t>
      </w:r>
    </w:p>
    <w:p w14:paraId="3BAF62A0">
      <w:pPr>
        <w:widowControl w:val="0"/>
        <w:autoSpaceDE/>
        <w:autoSpaceDN/>
        <w:adjustRightInd/>
        <w:snapToGrid/>
        <w:spacing w:before="0" w:after="0" w:line="36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w:t>
      </w:r>
      <w:r>
        <w:rPr>
          <w:rFonts w:hint="eastAsia" w:ascii="宋体" w:hAnsi="宋体" w:cs="宋体"/>
          <w:color w:val="auto"/>
          <w:sz w:val="21"/>
          <w:szCs w:val="21"/>
          <w:highlight w:val="none"/>
          <w:lang w:val="en-US" w:eastAsia="zh-CN"/>
        </w:rPr>
        <w:t>采购人确定的</w:t>
      </w:r>
      <w:r>
        <w:rPr>
          <w:rFonts w:hint="eastAsia" w:ascii="宋体" w:hAnsi="宋体" w:eastAsia="宋体" w:cs="宋体"/>
          <w:color w:val="auto"/>
          <w:sz w:val="21"/>
          <w:szCs w:val="21"/>
          <w:highlight w:val="none"/>
          <w:lang w:val="en-US" w:eastAsia="zh-CN"/>
        </w:rPr>
        <w:t>基准日</w:t>
      </w:r>
      <w:r>
        <w:rPr>
          <w:rFonts w:hint="eastAsia" w:ascii="宋体" w:hAnsi="宋体" w:cs="宋体"/>
          <w:color w:val="auto"/>
          <w:sz w:val="21"/>
          <w:szCs w:val="21"/>
          <w:highlight w:val="none"/>
          <w:lang w:val="en-US" w:eastAsia="zh-CN"/>
        </w:rPr>
        <w:t>，对</w:t>
      </w:r>
      <w:r>
        <w:rPr>
          <w:rFonts w:hint="eastAsia" w:asciiTheme="minorEastAsia" w:hAnsiTheme="minorEastAsia" w:eastAsiaTheme="minorEastAsia" w:cstheme="minorEastAsia"/>
          <w:color w:val="auto"/>
          <w:sz w:val="21"/>
          <w:szCs w:val="21"/>
          <w:highlight w:val="none"/>
          <w:lang w:val="en-US" w:eastAsia="zh-CN"/>
        </w:rPr>
        <w:t>贵州新锶源饮用水销售有限公司</w:t>
      </w:r>
      <w:r>
        <w:rPr>
          <w:rFonts w:hint="eastAsia" w:ascii="宋体" w:hAnsi="宋体" w:cs="宋体"/>
          <w:color w:val="auto"/>
          <w:sz w:val="21"/>
          <w:szCs w:val="21"/>
          <w:highlight w:val="none"/>
          <w:lang w:val="en-US" w:eastAsia="zh-CN"/>
        </w:rPr>
        <w:t>的</w:t>
      </w:r>
      <w:r>
        <w:rPr>
          <w:rFonts w:hint="eastAsia" w:ascii="宋体" w:hAnsi="宋体" w:eastAsia="宋体" w:cs="宋体"/>
          <w:color w:val="auto"/>
          <w:sz w:val="21"/>
          <w:szCs w:val="21"/>
          <w:highlight w:val="none"/>
          <w:lang w:val="en-US" w:eastAsia="zh-CN"/>
        </w:rPr>
        <w:t>各项资产、负债、股东权益情况进行审计，重点审计项目公司各项资产的可</w:t>
      </w:r>
      <w:r>
        <w:rPr>
          <w:rFonts w:hint="eastAsia" w:ascii="宋体" w:hAnsi="宋体" w:eastAsia="宋体" w:cs="宋体"/>
          <w:b w:val="0"/>
          <w:bCs/>
          <w:color w:val="auto"/>
          <w:sz w:val="21"/>
          <w:szCs w:val="21"/>
          <w:highlight w:val="none"/>
          <w:lang w:val="en-US" w:eastAsia="zh-CN"/>
        </w:rPr>
        <w:t>回收</w:t>
      </w:r>
      <w:r>
        <w:rPr>
          <w:rFonts w:hint="eastAsia" w:ascii="宋体" w:hAnsi="宋体" w:eastAsia="宋体" w:cs="宋体"/>
          <w:color w:val="auto"/>
          <w:sz w:val="21"/>
          <w:szCs w:val="21"/>
          <w:highlight w:val="none"/>
          <w:lang w:val="en-US" w:eastAsia="zh-CN"/>
        </w:rPr>
        <w:t>、受限及处置的具体情况，核实项目公司各项负债的性质、期限、利息及设置的增信措施等情况</w:t>
      </w:r>
      <w:r>
        <w:rPr>
          <w:rFonts w:hint="eastAsia" w:ascii="宋体" w:hAnsi="宋体" w:cs="宋体"/>
          <w:color w:val="auto"/>
          <w:sz w:val="21"/>
          <w:szCs w:val="21"/>
          <w:highlight w:val="none"/>
          <w:lang w:val="en-US" w:eastAsia="zh-CN"/>
        </w:rPr>
        <w:t>，出具资产审计报告。</w:t>
      </w:r>
    </w:p>
    <w:p w14:paraId="69DEAC1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textAlignment w:val="auto"/>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四、服务质量</w:t>
      </w:r>
    </w:p>
    <w:p w14:paraId="468E477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1.服务质量要求</w:t>
      </w:r>
    </w:p>
    <w:p w14:paraId="7A943953">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响应人须保证按照相关要求遵守职业道德规范，恪守独立、客观、公正的原则，确保其履行职责所需要的专业胜任能力，以应有的职业谨慎态度执行审核业务。</w:t>
      </w:r>
    </w:p>
    <w:p w14:paraId="17B95D52">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响应人应当在实施必要的审计程序后，以经过核实的证据为依据，分析、评价审核结论，形成审计意见，出具审计报告。保证审计报告的真实性、准确性、合法性。</w:t>
      </w:r>
    </w:p>
    <w:p w14:paraId="2A2D1F0F">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响应人可在审计过程中合理分配工作量和工作时间，必须保证在合同规定的时间内认真负责地完成合同范围内的服务工作并出具合格的报告。</w:t>
      </w:r>
    </w:p>
    <w:p w14:paraId="54E8EE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对采购人或被评估单位所提供的有关文件资料和执业过程中获知的商业秘密，应妥善保管并负保密责任。除法律、法规另有规定的以外，未经采购人书面许可，响应人不得将审计报告内容，以及采购人或被评估单位提供的有关文件资料和执业过程中获知的商业秘密向第三方提供或者公开。上述保密义务，在本项目终止或合同解除之后仍需履行。</w:t>
      </w:r>
    </w:p>
    <w:p w14:paraId="63F3FF3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2.</w:t>
      </w:r>
      <w:r>
        <w:rPr>
          <w:rFonts w:hint="eastAsia" w:ascii="宋体" w:hAnsi="宋体" w:cs="宋体"/>
          <w:b/>
          <w:bCs/>
          <w:color w:val="auto"/>
          <w:szCs w:val="21"/>
          <w:highlight w:val="none"/>
        </w:rPr>
        <w:t>服务人员要求</w:t>
      </w:r>
    </w:p>
    <w:p w14:paraId="61EDBE0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kern w:val="10"/>
          <w:sz w:val="21"/>
          <w:szCs w:val="21"/>
          <w:highlight w:val="none"/>
          <w:lang w:val="en-US" w:eastAsia="zh-CN" w:bidi="ar-SA"/>
        </w:rPr>
      </w:pPr>
      <w:r>
        <w:rPr>
          <w:rFonts w:hint="eastAsia" w:ascii="宋体" w:hAnsi="宋体" w:cs="宋体"/>
          <w:color w:val="auto"/>
          <w:sz w:val="21"/>
          <w:szCs w:val="21"/>
          <w:highlight w:val="none"/>
          <w:lang w:val="en-US" w:eastAsia="zh-CN"/>
        </w:rPr>
        <w:t>本</w:t>
      </w:r>
      <w:r>
        <w:rPr>
          <w:rFonts w:hint="eastAsia" w:ascii="宋体" w:hAnsi="宋体" w:eastAsia="宋体" w:cs="宋体"/>
          <w:color w:val="auto"/>
          <w:sz w:val="21"/>
          <w:szCs w:val="21"/>
          <w:highlight w:val="none"/>
          <w:lang w:val="en-US" w:eastAsia="zh-CN"/>
        </w:rPr>
        <w:t>项目</w:t>
      </w:r>
      <w:r>
        <w:rPr>
          <w:rFonts w:hint="eastAsia" w:ascii="宋体" w:hAnsi="宋体" w:cs="宋体"/>
          <w:color w:val="auto"/>
          <w:sz w:val="21"/>
          <w:szCs w:val="21"/>
          <w:highlight w:val="none"/>
          <w:lang w:val="en-US" w:eastAsia="zh-CN"/>
        </w:rPr>
        <w:t>对响应人</w:t>
      </w:r>
      <w:r>
        <w:rPr>
          <w:rFonts w:hint="eastAsia" w:ascii="宋体" w:hAnsi="宋体" w:eastAsia="宋体" w:cs="宋体"/>
          <w:color w:val="auto"/>
          <w:sz w:val="21"/>
          <w:szCs w:val="21"/>
          <w:highlight w:val="none"/>
          <w:lang w:val="en-US" w:eastAsia="zh-CN"/>
        </w:rPr>
        <w:t>服务专业要求高，</w:t>
      </w:r>
      <w:r>
        <w:rPr>
          <w:rFonts w:hint="eastAsia" w:ascii="宋体" w:hAnsi="宋体" w:cs="宋体"/>
          <w:color w:val="auto"/>
          <w:sz w:val="21"/>
          <w:szCs w:val="21"/>
          <w:highlight w:val="none"/>
          <w:lang w:val="en-US" w:eastAsia="zh-CN"/>
        </w:rPr>
        <w:t>响应人</w:t>
      </w:r>
      <w:r>
        <w:rPr>
          <w:rFonts w:hint="eastAsia" w:ascii="宋体" w:hAnsi="宋体" w:eastAsia="宋体" w:cs="宋体"/>
          <w:color w:val="auto"/>
          <w:sz w:val="21"/>
          <w:szCs w:val="21"/>
          <w:highlight w:val="none"/>
          <w:lang w:val="en-US" w:eastAsia="zh-CN"/>
        </w:rPr>
        <w:t>必须配备经验丰富、数量足够的专业人员，确保审计工作质量。</w:t>
      </w:r>
    </w:p>
    <w:p w14:paraId="0DD35B5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highlight w:val="none"/>
        </w:rPr>
      </w:pPr>
      <w:r>
        <w:rPr>
          <w:rFonts w:hint="eastAsia" w:ascii="宋体" w:hAnsi="宋体" w:eastAsia="宋体" w:cs="宋体"/>
          <w:color w:val="auto"/>
          <w:sz w:val="21"/>
          <w:szCs w:val="21"/>
          <w:highlight w:val="none"/>
          <w:lang w:val="en-US" w:eastAsia="zh-CN"/>
        </w:rPr>
        <w:t>服务团队项目负责人要求具有注册会计师证书</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执业经验</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年以上。</w:t>
      </w:r>
    </w:p>
    <w:p w14:paraId="77C8FEA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五、</w:t>
      </w:r>
      <w:r>
        <w:rPr>
          <w:rFonts w:hint="eastAsia" w:ascii="宋体" w:hAnsi="宋体" w:eastAsia="宋体" w:cs="宋体"/>
          <w:b/>
          <w:bCs/>
          <w:color w:val="auto"/>
          <w:sz w:val="21"/>
          <w:szCs w:val="21"/>
          <w:highlight w:val="none"/>
          <w:lang w:val="en-US" w:eastAsia="zh-CN"/>
        </w:rPr>
        <w:t>服务</w:t>
      </w:r>
      <w:r>
        <w:rPr>
          <w:rFonts w:hint="eastAsia" w:ascii="宋体" w:hAnsi="宋体" w:eastAsia="宋体" w:cs="宋体"/>
          <w:b/>
          <w:bCs/>
          <w:color w:val="auto"/>
          <w:kern w:val="0"/>
          <w:sz w:val="21"/>
          <w:szCs w:val="21"/>
          <w:highlight w:val="none"/>
          <w:lang w:val="en-US" w:eastAsia="zh-CN"/>
        </w:rPr>
        <w:t>期限</w:t>
      </w:r>
    </w:p>
    <w:p w14:paraId="111F465A">
      <w:pPr>
        <w:pStyle w:val="113"/>
        <w:ind w:firstLine="420" w:firstLineChars="20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项目合同签订之日起至项目相关报告</w:t>
      </w:r>
      <w:r>
        <w:rPr>
          <w:rFonts w:hint="eastAsia" w:ascii="宋体" w:hAnsi="宋体" w:eastAsia="宋体" w:cs="宋体"/>
          <w:color w:val="auto"/>
          <w:kern w:val="0"/>
          <w:szCs w:val="21"/>
          <w:highlight w:val="none"/>
          <w:lang w:val="en-US" w:eastAsia="zh-CN"/>
        </w:rPr>
        <w:t>提交采购人</w:t>
      </w:r>
      <w:r>
        <w:rPr>
          <w:rFonts w:hint="eastAsia" w:ascii="宋体" w:hAnsi="宋体" w:eastAsia="宋体" w:cs="宋体"/>
          <w:color w:val="auto"/>
          <w:kern w:val="0"/>
          <w:szCs w:val="21"/>
          <w:highlight w:val="none"/>
        </w:rPr>
        <w:t>并由</w:t>
      </w:r>
      <w:r>
        <w:rPr>
          <w:rFonts w:hint="eastAsia" w:ascii="宋体" w:hAnsi="宋体" w:eastAsia="宋体" w:cs="宋体"/>
          <w:color w:val="auto"/>
          <w:kern w:val="0"/>
          <w:szCs w:val="21"/>
          <w:highlight w:val="none"/>
          <w:lang w:val="en-US" w:eastAsia="zh-CN"/>
        </w:rPr>
        <w:t>采购人</w:t>
      </w:r>
      <w:r>
        <w:rPr>
          <w:rFonts w:hint="eastAsia" w:ascii="宋体" w:hAnsi="宋体" w:eastAsia="宋体" w:cs="宋体"/>
          <w:color w:val="auto"/>
          <w:kern w:val="0"/>
          <w:szCs w:val="21"/>
          <w:highlight w:val="none"/>
        </w:rPr>
        <w:t>确认无误时止</w:t>
      </w:r>
      <w:r>
        <w:rPr>
          <w:rFonts w:hint="eastAsia" w:ascii="宋体" w:hAnsi="宋体" w:eastAsia="宋体" w:cs="宋体"/>
          <w:color w:val="auto"/>
          <w:kern w:val="0"/>
          <w:szCs w:val="21"/>
          <w:highlight w:val="none"/>
          <w:lang w:eastAsia="zh-CN"/>
        </w:rPr>
        <w:t>。</w:t>
      </w:r>
    </w:p>
    <w:p w14:paraId="67AD3B95">
      <w:pPr>
        <w:rPr>
          <w:rFonts w:hint="eastAsia"/>
          <w:color w:val="auto"/>
          <w:sz w:val="28"/>
          <w:szCs w:val="28"/>
          <w:highlight w:val="none"/>
        </w:rPr>
      </w:pPr>
      <w:bookmarkStart w:id="140" w:name="_Toc18199"/>
      <w:bookmarkStart w:id="141" w:name="_Toc456552076"/>
      <w:bookmarkStart w:id="142" w:name="_Toc438039969"/>
      <w:bookmarkStart w:id="143" w:name="_Toc435779386"/>
      <w:bookmarkStart w:id="144" w:name="_Toc438143778"/>
      <w:r>
        <w:rPr>
          <w:rFonts w:hint="eastAsia"/>
          <w:color w:val="auto"/>
          <w:sz w:val="28"/>
          <w:szCs w:val="28"/>
          <w:highlight w:val="none"/>
        </w:rPr>
        <w:br w:type="page"/>
      </w:r>
    </w:p>
    <w:p w14:paraId="0C743380">
      <w:pPr>
        <w:pStyle w:val="5"/>
        <w:jc w:val="center"/>
        <w:rPr>
          <w:color w:val="auto"/>
          <w:sz w:val="28"/>
          <w:szCs w:val="28"/>
          <w:highlight w:val="none"/>
        </w:rPr>
      </w:pPr>
      <w:r>
        <w:rPr>
          <w:rFonts w:hint="eastAsia"/>
          <w:color w:val="auto"/>
          <w:sz w:val="28"/>
          <w:szCs w:val="28"/>
          <w:highlight w:val="none"/>
        </w:rPr>
        <w:t>第五章 合同条款格式</w:t>
      </w:r>
      <w:bookmarkEnd w:id="140"/>
    </w:p>
    <w:p w14:paraId="21E793A2">
      <w:pPr>
        <w:spacing w:before="156" w:beforeLines="50" w:after="156" w:afterLines="50" w:line="360" w:lineRule="auto"/>
        <w:ind w:firstLine="6160" w:firstLineChars="2800"/>
        <w:contextualSpacing/>
        <w:jc w:val="both"/>
        <w:rPr>
          <w:rFonts w:ascii="宋体" w:hAnsi="宋体"/>
          <w:color w:val="auto"/>
          <w:highlight w:val="none"/>
        </w:rPr>
      </w:pPr>
      <w:r>
        <w:rPr>
          <w:rFonts w:hint="eastAsia" w:ascii="宋体" w:hAnsi="宋体" w:cs="宋体"/>
          <w:color w:val="auto"/>
          <w:sz w:val="22"/>
          <w:szCs w:val="22"/>
          <w:highlight w:val="none"/>
          <w:lang w:bidi="ar"/>
        </w:rPr>
        <w:t xml:space="preserve">合同编号：    </w:t>
      </w:r>
    </w:p>
    <w:p w14:paraId="1E9379A9">
      <w:pPr>
        <w:keepNext w:val="0"/>
        <w:keepLines w:val="0"/>
        <w:pageBreakBefore w:val="0"/>
        <w:widowControl/>
        <w:kinsoku/>
        <w:wordWrap/>
        <w:overflowPunct/>
        <w:topLinePunct w:val="0"/>
        <w:autoSpaceDE/>
        <w:autoSpaceDN/>
        <w:bidi w:val="0"/>
        <w:adjustRightInd/>
        <w:snapToGrid w:val="0"/>
        <w:spacing w:line="360" w:lineRule="auto"/>
        <w:ind w:left="-210" w:leftChars="-100"/>
        <w:jc w:val="center"/>
        <w:textAlignment w:val="auto"/>
        <w:rPr>
          <w:rFonts w:hint="eastAsia" w:hAnsi="宋体"/>
          <w:b/>
          <w:color w:val="auto"/>
          <w:kern w:val="2"/>
          <w:sz w:val="48"/>
          <w:szCs w:val="40"/>
          <w:highlight w:val="none"/>
          <w:lang w:eastAsia="zh-CN"/>
        </w:rPr>
      </w:pPr>
    </w:p>
    <w:p w14:paraId="2536B7F4">
      <w:pPr>
        <w:keepNext w:val="0"/>
        <w:keepLines w:val="0"/>
        <w:pageBreakBefore w:val="0"/>
        <w:widowControl/>
        <w:kinsoku/>
        <w:wordWrap/>
        <w:overflowPunct/>
        <w:topLinePunct w:val="0"/>
        <w:autoSpaceDE/>
        <w:autoSpaceDN/>
        <w:bidi w:val="0"/>
        <w:adjustRightInd/>
        <w:snapToGrid w:val="0"/>
        <w:spacing w:line="360" w:lineRule="auto"/>
        <w:ind w:left="-210" w:leftChars="-100"/>
        <w:jc w:val="center"/>
        <w:textAlignment w:val="auto"/>
        <w:rPr>
          <w:rFonts w:hAnsi="宋体"/>
          <w:b/>
          <w:color w:val="auto"/>
          <w:kern w:val="2"/>
          <w:sz w:val="48"/>
          <w:szCs w:val="40"/>
          <w:highlight w:val="none"/>
        </w:rPr>
      </w:pPr>
      <w:r>
        <w:rPr>
          <w:rFonts w:hint="eastAsia" w:hAnsi="宋体"/>
          <w:b/>
          <w:color w:val="auto"/>
          <w:kern w:val="2"/>
          <w:sz w:val="48"/>
          <w:szCs w:val="40"/>
          <w:highlight w:val="none"/>
          <w:lang w:eastAsia="zh-CN"/>
        </w:rPr>
        <w:t>织金高原泉水务有限公司35%股权、债权资产包整体转让中介服务采购项目</w:t>
      </w:r>
      <w:r>
        <w:rPr>
          <w:rFonts w:hint="eastAsia" w:hAnsi="宋体"/>
          <w:b/>
          <w:color w:val="auto"/>
          <w:kern w:val="2"/>
          <w:sz w:val="48"/>
          <w:szCs w:val="40"/>
          <w:highlight w:val="none"/>
          <w:lang w:eastAsia="zh-CN"/>
        </w:rPr>
        <w:br w:type="textWrapping"/>
      </w:r>
      <w:r>
        <w:rPr>
          <w:rFonts w:hint="eastAsia" w:hAnsi="宋体"/>
          <w:b/>
          <w:color w:val="auto"/>
          <w:kern w:val="2"/>
          <w:sz w:val="44"/>
          <w:szCs w:val="36"/>
          <w:highlight w:val="none"/>
          <w:lang w:val="en-US" w:eastAsia="zh-CN"/>
        </w:rPr>
        <w:t>标包：1</w:t>
      </w:r>
      <w:r>
        <w:rPr>
          <w:rFonts w:hint="eastAsia" w:hAnsi="宋体"/>
          <w:b/>
          <w:color w:val="auto"/>
          <w:kern w:val="2"/>
          <w:sz w:val="44"/>
          <w:szCs w:val="36"/>
          <w:highlight w:val="none"/>
        </w:rPr>
        <w:t>合同</w:t>
      </w:r>
    </w:p>
    <w:p w14:paraId="7563E0EB">
      <w:pPr>
        <w:tabs>
          <w:tab w:val="left" w:pos="180"/>
        </w:tabs>
        <w:spacing w:line="360" w:lineRule="auto"/>
        <w:ind w:left="2730" w:leftChars="800" w:hanging="1050" w:hangingChars="500"/>
        <w:rPr>
          <w:rFonts w:hint="eastAsia" w:ascii="宋体" w:hAnsi="宋体" w:eastAsia="宋体" w:cs="宋体"/>
          <w:color w:val="auto"/>
          <w:highlight w:val="none"/>
        </w:rPr>
      </w:pPr>
    </w:p>
    <w:p w14:paraId="21685CB6">
      <w:pPr>
        <w:tabs>
          <w:tab w:val="left" w:pos="180"/>
        </w:tabs>
        <w:spacing w:line="360" w:lineRule="auto"/>
        <w:ind w:left="2730" w:leftChars="800" w:hanging="1050" w:hangingChars="500"/>
        <w:rPr>
          <w:rFonts w:hint="eastAsia" w:ascii="宋体" w:hAnsi="宋体" w:eastAsia="宋体" w:cs="宋体"/>
          <w:color w:val="auto"/>
          <w:highlight w:val="none"/>
        </w:rPr>
      </w:pPr>
    </w:p>
    <w:p w14:paraId="21E2D45E">
      <w:pPr>
        <w:tabs>
          <w:tab w:val="left" w:pos="180"/>
        </w:tabs>
        <w:spacing w:line="360" w:lineRule="auto"/>
        <w:ind w:left="2730" w:leftChars="800" w:hanging="1050" w:hangingChars="500"/>
        <w:rPr>
          <w:rFonts w:hint="eastAsia" w:ascii="宋体" w:hAnsi="宋体" w:eastAsia="宋体" w:cs="宋体"/>
          <w:color w:val="auto"/>
          <w:highlight w:val="none"/>
        </w:rPr>
      </w:pPr>
    </w:p>
    <w:p w14:paraId="5A72B561">
      <w:pPr>
        <w:tabs>
          <w:tab w:val="left" w:pos="180"/>
        </w:tabs>
        <w:spacing w:line="360" w:lineRule="auto"/>
        <w:ind w:left="2730" w:leftChars="800" w:hanging="1050" w:hangingChars="500"/>
        <w:rPr>
          <w:rFonts w:hint="eastAsia" w:ascii="宋体" w:hAnsi="宋体" w:eastAsia="宋体" w:cs="宋体"/>
          <w:color w:val="auto"/>
          <w:highlight w:val="none"/>
        </w:rPr>
      </w:pPr>
    </w:p>
    <w:p w14:paraId="6F5C9DFF">
      <w:pPr>
        <w:tabs>
          <w:tab w:val="left" w:pos="180"/>
        </w:tabs>
        <w:spacing w:line="360" w:lineRule="auto"/>
        <w:ind w:left="2730" w:leftChars="800" w:hanging="1050" w:hangingChars="500"/>
        <w:rPr>
          <w:rFonts w:hint="eastAsia" w:ascii="宋体" w:hAnsi="宋体" w:eastAsia="宋体" w:cs="宋体"/>
          <w:color w:val="auto"/>
          <w:highlight w:val="none"/>
        </w:rPr>
      </w:pPr>
    </w:p>
    <w:p w14:paraId="0993262D">
      <w:pPr>
        <w:tabs>
          <w:tab w:val="left" w:pos="180"/>
        </w:tabs>
        <w:spacing w:line="360" w:lineRule="auto"/>
        <w:ind w:left="2730" w:leftChars="800" w:hanging="1050" w:hangingChars="500"/>
        <w:rPr>
          <w:rFonts w:hint="eastAsia" w:ascii="宋体" w:hAnsi="宋体" w:eastAsia="宋体" w:cs="宋体"/>
          <w:color w:val="auto"/>
          <w:highlight w:val="none"/>
        </w:rPr>
      </w:pPr>
    </w:p>
    <w:p w14:paraId="54BA5F9B">
      <w:pPr>
        <w:tabs>
          <w:tab w:val="left" w:pos="180"/>
        </w:tabs>
        <w:spacing w:line="360" w:lineRule="auto"/>
        <w:ind w:left="2730" w:leftChars="800" w:hanging="1050" w:hangingChars="500"/>
        <w:rPr>
          <w:rFonts w:hint="eastAsia" w:ascii="宋体" w:hAnsi="宋体" w:eastAsia="宋体" w:cs="宋体"/>
          <w:color w:val="auto"/>
          <w:highlight w:val="none"/>
        </w:rPr>
      </w:pPr>
    </w:p>
    <w:p w14:paraId="0AA597B7">
      <w:pPr>
        <w:tabs>
          <w:tab w:val="left" w:pos="180"/>
        </w:tabs>
        <w:spacing w:line="360" w:lineRule="auto"/>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8"/>
          <w:highlight w:val="none"/>
        </w:rPr>
        <w:t>项目名称：</w:t>
      </w:r>
      <w:r>
        <w:rPr>
          <w:rFonts w:hint="eastAsia" w:ascii="宋体" w:hAnsi="宋体" w:cs="宋体"/>
          <w:color w:val="auto"/>
          <w:sz w:val="24"/>
          <w:szCs w:val="24"/>
          <w:highlight w:val="none"/>
          <w:u w:val="single"/>
          <w:lang w:val="en-US" w:eastAsia="zh-CN"/>
        </w:rPr>
        <w:t>织金高原泉水务有限公司35%股权、债权资产包整体转让中介服务采购项目</w:t>
      </w:r>
    </w:p>
    <w:p w14:paraId="2419D52A">
      <w:pPr>
        <w:tabs>
          <w:tab w:val="left" w:pos="180"/>
        </w:tabs>
        <w:spacing w:line="360" w:lineRule="auto"/>
        <w:ind w:left="210" w:leftChars="100" w:firstLine="480" w:firstLineChars="200"/>
        <w:rPr>
          <w:rFonts w:hint="eastAsia" w:ascii="宋体" w:hAnsi="宋体" w:eastAsia="宋体" w:cs="宋体"/>
          <w:color w:val="auto"/>
          <w:sz w:val="24"/>
          <w:szCs w:val="28"/>
          <w:highlight w:val="none"/>
        </w:rPr>
      </w:pPr>
    </w:p>
    <w:p w14:paraId="441D8DFF">
      <w:pPr>
        <w:tabs>
          <w:tab w:val="left" w:pos="180"/>
        </w:tabs>
        <w:spacing w:line="360" w:lineRule="auto"/>
        <w:ind w:firstLine="960" w:firstLineChars="400"/>
        <w:rPr>
          <w:rFonts w:hint="eastAsia" w:ascii="宋体" w:hAnsi="宋体" w:eastAsia="宋体" w:cs="宋体"/>
          <w:color w:val="auto"/>
          <w:sz w:val="24"/>
          <w:szCs w:val="28"/>
          <w:highlight w:val="none"/>
          <w:u w:val="single"/>
        </w:rPr>
      </w:pPr>
      <w:r>
        <w:rPr>
          <w:rFonts w:hint="eastAsia" w:ascii="宋体" w:hAnsi="宋体" w:eastAsia="宋体" w:cs="宋体"/>
          <w:color w:val="auto"/>
          <w:sz w:val="24"/>
          <w:szCs w:val="28"/>
          <w:highlight w:val="none"/>
        </w:rPr>
        <w:t>委托方（甲方）：</w:t>
      </w:r>
    </w:p>
    <w:p w14:paraId="53928771">
      <w:pPr>
        <w:tabs>
          <w:tab w:val="left" w:pos="180"/>
        </w:tabs>
        <w:spacing w:line="360" w:lineRule="auto"/>
        <w:ind w:left="210" w:leftChars="100" w:firstLine="480" w:firstLineChars="200"/>
        <w:rPr>
          <w:rFonts w:hint="eastAsia" w:ascii="宋体" w:hAnsi="宋体" w:eastAsia="宋体" w:cs="宋体"/>
          <w:color w:val="auto"/>
          <w:sz w:val="24"/>
          <w:szCs w:val="28"/>
          <w:highlight w:val="none"/>
        </w:rPr>
      </w:pPr>
    </w:p>
    <w:p w14:paraId="302341E5">
      <w:pPr>
        <w:tabs>
          <w:tab w:val="left" w:pos="180"/>
        </w:tabs>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承接人（乙方）： </w:t>
      </w:r>
    </w:p>
    <w:p w14:paraId="20783E9B">
      <w:pPr>
        <w:tabs>
          <w:tab w:val="left" w:pos="180"/>
        </w:tabs>
        <w:spacing w:line="360" w:lineRule="auto"/>
        <w:ind w:firstLine="960" w:firstLineChars="400"/>
        <w:rPr>
          <w:rFonts w:hint="eastAsia" w:ascii="宋体" w:hAnsi="宋体" w:eastAsia="宋体" w:cs="宋体"/>
          <w:color w:val="auto"/>
          <w:sz w:val="24"/>
          <w:szCs w:val="24"/>
          <w:highlight w:val="none"/>
        </w:rPr>
      </w:pPr>
    </w:p>
    <w:p w14:paraId="54647B5C">
      <w:pPr>
        <w:tabs>
          <w:tab w:val="left" w:pos="180"/>
        </w:tabs>
        <w:spacing w:line="360" w:lineRule="auto"/>
        <w:ind w:firstLine="960" w:firstLineChars="400"/>
        <w:rPr>
          <w:rFonts w:hint="eastAsia" w:ascii="宋体" w:hAnsi="宋体" w:eastAsia="宋体" w:cs="宋体"/>
          <w:color w:val="auto"/>
          <w:sz w:val="24"/>
          <w:szCs w:val="24"/>
          <w:highlight w:val="none"/>
        </w:rPr>
      </w:pPr>
    </w:p>
    <w:p w14:paraId="75C6FBE4">
      <w:pPr>
        <w:tabs>
          <w:tab w:val="left" w:pos="180"/>
        </w:tabs>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12D3EB77">
      <w:pPr>
        <w:pStyle w:val="111"/>
        <w:spacing w:line="400" w:lineRule="exact"/>
        <w:ind w:firstLine="420" w:firstLineChars="200"/>
        <w:outlineLvl w:val="9"/>
        <w:rPr>
          <w:rFonts w:hAnsi="宋体" w:cs="宋体"/>
          <w:bCs/>
          <w:color w:val="auto"/>
          <w:sz w:val="21"/>
          <w:highlight w:val="none"/>
        </w:rPr>
      </w:pPr>
    </w:p>
    <w:p w14:paraId="27AF60BA">
      <w:pPr>
        <w:snapToGrid w:val="0"/>
        <w:spacing w:line="360" w:lineRule="auto"/>
        <w:rPr>
          <w:rFonts w:hint="eastAsia" w:asciiTheme="minorEastAsia" w:hAnsiTheme="minorEastAsia" w:eastAsiaTheme="minorEastAsia" w:cstheme="minorEastAsia"/>
          <w:color w:val="auto"/>
          <w:sz w:val="21"/>
          <w:szCs w:val="21"/>
          <w:highlight w:val="none"/>
        </w:rPr>
      </w:pPr>
    </w:p>
    <w:p w14:paraId="302B452F">
      <w:pPr>
        <w:snapToGrid w:val="0"/>
        <w:spacing w:line="360" w:lineRule="auto"/>
        <w:rPr>
          <w:rFonts w:hint="eastAsia" w:asciiTheme="minorEastAsia" w:hAnsiTheme="minorEastAsia" w:eastAsiaTheme="minorEastAsia" w:cstheme="minorEastAsia"/>
          <w:color w:val="auto"/>
          <w:sz w:val="21"/>
          <w:szCs w:val="21"/>
          <w:highlight w:val="none"/>
        </w:rPr>
      </w:pPr>
    </w:p>
    <w:p w14:paraId="3DF740F2">
      <w:pPr>
        <w:snapToGrid w:val="0"/>
        <w:spacing w:line="360" w:lineRule="auto"/>
        <w:rPr>
          <w:rFonts w:hint="eastAsia" w:asciiTheme="minorEastAsia" w:hAnsiTheme="minorEastAsia" w:eastAsiaTheme="minorEastAsia" w:cstheme="minorEastAsia"/>
          <w:color w:val="auto"/>
          <w:sz w:val="21"/>
          <w:szCs w:val="21"/>
          <w:highlight w:val="none"/>
        </w:rPr>
      </w:pPr>
    </w:p>
    <w:p w14:paraId="075BAAC7">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br w:type="page"/>
      </w:r>
    </w:p>
    <w:p w14:paraId="66F8E2D0">
      <w:pPr>
        <w:snapToGrid w:val="0"/>
        <w:spacing w:line="360" w:lineRule="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委托方(甲方)：</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val="en-US" w:eastAsia="zh-CN"/>
        </w:rPr>
        <w:t xml:space="preserve">     </w:t>
      </w:r>
    </w:p>
    <w:p w14:paraId="2426ADB9">
      <w:pPr>
        <w:spacing w:line="360" w:lineRule="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法定代表人：</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 xml:space="preserve"> </w:t>
      </w:r>
    </w:p>
    <w:p w14:paraId="6B159E40">
      <w:pPr>
        <w:spacing w:line="360" w:lineRule="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联系地址：</w:t>
      </w:r>
      <w:r>
        <w:rPr>
          <w:rFonts w:hint="eastAsia" w:asciiTheme="minorEastAsia" w:hAnsiTheme="minorEastAsia" w:eastAsiaTheme="minorEastAsia" w:cstheme="minorEastAsia"/>
          <w:color w:val="auto"/>
          <w:sz w:val="21"/>
          <w:szCs w:val="21"/>
          <w:highlight w:val="none"/>
          <w:u w:val="single"/>
        </w:rPr>
        <w:t xml:space="preserve">                                        </w:t>
      </w:r>
    </w:p>
    <w:p w14:paraId="1196D487">
      <w:pPr>
        <w:snapToGrid w:val="0"/>
        <w:spacing w:line="360" w:lineRule="auto"/>
        <w:ind w:left="210" w:leftChars="100"/>
        <w:rPr>
          <w:rFonts w:hint="eastAsia" w:asciiTheme="minorEastAsia" w:hAnsiTheme="minorEastAsia" w:eastAsiaTheme="minorEastAsia" w:cstheme="minorEastAsia"/>
          <w:color w:val="auto"/>
          <w:sz w:val="21"/>
          <w:szCs w:val="21"/>
          <w:highlight w:val="none"/>
          <w:u w:val="single"/>
        </w:rPr>
      </w:pPr>
    </w:p>
    <w:p w14:paraId="37AA655F">
      <w:pPr>
        <w:snapToGrid w:val="0"/>
        <w:spacing w:line="360" w:lineRule="auto"/>
        <w:rPr>
          <w:rFonts w:hint="eastAsia" w:asciiTheme="minorEastAsia" w:hAnsiTheme="minorEastAsia" w:eastAsiaTheme="minorEastAsia" w:cstheme="minorEastAsia"/>
          <w:color w:val="auto"/>
          <w:sz w:val="21"/>
          <w:szCs w:val="21"/>
          <w:highlight w:val="none"/>
          <w:u w:val="none"/>
        </w:rPr>
      </w:pPr>
      <w:r>
        <w:rPr>
          <w:rFonts w:hint="eastAsia" w:asciiTheme="minorEastAsia" w:hAnsiTheme="minorEastAsia" w:eastAsiaTheme="minorEastAsia" w:cstheme="minorEastAsia"/>
          <w:color w:val="auto"/>
          <w:sz w:val="21"/>
          <w:szCs w:val="21"/>
          <w:highlight w:val="none"/>
        </w:rPr>
        <w:t>承接方</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乙方</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u w:val="single"/>
          <w:lang w:val="en-US" w:eastAsia="zh-CN"/>
        </w:rPr>
        <w:t xml:space="preserve">                                 </w:t>
      </w:r>
    </w:p>
    <w:p w14:paraId="0A58E15F">
      <w:pPr>
        <w:spacing w:line="360" w:lineRule="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法定代表人：</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 xml:space="preserve">   </w:t>
      </w:r>
    </w:p>
    <w:p w14:paraId="65193932">
      <w:pPr>
        <w:spacing w:line="360" w:lineRule="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联系地址：</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 xml:space="preserve">         </w:t>
      </w:r>
    </w:p>
    <w:p w14:paraId="33E4335D">
      <w:pPr>
        <w:numPr>
          <w:ilvl w:val="255"/>
          <w:numId w:val="0"/>
        </w:numPr>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p>
    <w:p w14:paraId="7F01F718">
      <w:pPr>
        <w:numPr>
          <w:ilvl w:val="255"/>
          <w:numId w:val="0"/>
        </w:numPr>
        <w:spacing w:line="360" w:lineRule="auto"/>
        <w:ind w:firstLine="420" w:firstLineChars="200"/>
        <w:jc w:val="left"/>
        <w:rPr>
          <w:rFonts w:hint="eastAsia" w:asciiTheme="minorEastAsia" w:hAnsiTheme="minorEastAsia" w:eastAsiaTheme="minorEastAsia" w:cstheme="minorEastAsia"/>
          <w:b w:val="0"/>
          <w:bCs w:val="0"/>
          <w:color w:val="auto"/>
          <w:sz w:val="21"/>
          <w:szCs w:val="21"/>
          <w:highlight w:val="none"/>
        </w:rPr>
      </w:pPr>
      <w:r>
        <w:rPr>
          <w:rFonts w:hint="eastAsia" w:ascii="宋体" w:hAnsi="宋体" w:eastAsia="宋体" w:cs="宋体"/>
          <w:color w:val="auto"/>
          <w:sz w:val="21"/>
          <w:szCs w:val="21"/>
          <w:highlight w:val="none"/>
        </w:rPr>
        <w:t>经甲乙双方协商一致，确定由乙方作为</w:t>
      </w:r>
      <w:bookmarkStart w:id="145" w:name="项目名称"/>
      <w:r>
        <w:rPr>
          <w:rFonts w:hint="eastAsia" w:ascii="宋体" w:hAnsi="宋体" w:cs="宋体"/>
          <w:color w:val="auto"/>
          <w:sz w:val="21"/>
          <w:szCs w:val="21"/>
          <w:highlight w:val="none"/>
          <w:u w:val="single"/>
          <w:lang w:eastAsia="zh-CN"/>
        </w:rPr>
        <w:t>织金高原泉水务有限公司35%股权、债权资产包整体转让中介服务采购项目</w:t>
      </w:r>
      <w:bookmarkEnd w:id="145"/>
      <w:r>
        <w:rPr>
          <w:rFonts w:hint="eastAsia" w:ascii="宋体" w:hAnsi="宋体" w:eastAsia="宋体" w:cs="宋体"/>
          <w:color w:val="auto"/>
          <w:sz w:val="21"/>
          <w:szCs w:val="21"/>
          <w:highlight w:val="none"/>
        </w:rPr>
        <w:t>的承包单位,为明确双方的权利、义务，保质、保量、按期完成工程任务，双方根据《中华人民共和国民法典》等法律法规，签订本合同</w:t>
      </w:r>
      <w:r>
        <w:rPr>
          <w:rFonts w:hint="eastAsia" w:asciiTheme="minorEastAsia" w:hAnsiTheme="minorEastAsia" w:eastAsiaTheme="minorEastAsia" w:cstheme="minorEastAsia"/>
          <w:color w:val="auto"/>
          <w:sz w:val="21"/>
          <w:szCs w:val="21"/>
          <w:highlight w:val="none"/>
        </w:rPr>
        <w:t>。</w:t>
      </w:r>
    </w:p>
    <w:p w14:paraId="45ADF519">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第一条 项目概况</w:t>
      </w:r>
    </w:p>
    <w:p w14:paraId="274B674C">
      <w:pPr>
        <w:widowControl w:val="0"/>
        <w:autoSpaceDE/>
        <w:autoSpaceDN/>
        <w:adjustRightInd/>
        <w:snapToGrid/>
        <w:spacing w:before="0" w:after="0"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我司需对外出售所持有的贵州新锶源饮用水销售有限公司80%股权。为保障上述股权转让工作合法合规、顺利推进，需聘请专业服务单位提供股权价值评估服务/财务审计服务。</w:t>
      </w:r>
    </w:p>
    <w:p w14:paraId="439D408D">
      <w:pPr>
        <w:numPr>
          <w:ilvl w:val="255"/>
          <w:numId w:val="0"/>
        </w:numPr>
        <w:spacing w:line="360" w:lineRule="auto"/>
        <w:ind w:firstLine="0" w:firstLineChars="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kern w:val="2"/>
          <w:sz w:val="21"/>
          <w:szCs w:val="21"/>
          <w:highlight w:val="none"/>
          <w:lang w:val="en-US" w:eastAsia="zh-CN" w:bidi="ar-SA"/>
        </w:rPr>
        <w:t>第二条 服务</w:t>
      </w:r>
      <w:r>
        <w:rPr>
          <w:rFonts w:hint="eastAsia" w:asciiTheme="minorEastAsia" w:hAnsiTheme="minorEastAsia" w:eastAsiaTheme="minorEastAsia" w:cstheme="minorEastAsia"/>
          <w:b/>
          <w:bCs/>
          <w:color w:val="auto"/>
          <w:sz w:val="21"/>
          <w:szCs w:val="21"/>
          <w:highlight w:val="none"/>
        </w:rPr>
        <w:t xml:space="preserve">内容   </w:t>
      </w:r>
      <w:r>
        <w:rPr>
          <w:rFonts w:hint="eastAsia" w:asciiTheme="minorEastAsia" w:hAnsiTheme="minorEastAsia" w:eastAsiaTheme="minorEastAsia" w:cstheme="minorEastAsia"/>
          <w:color w:val="auto"/>
          <w:sz w:val="21"/>
          <w:szCs w:val="21"/>
          <w:highlight w:val="none"/>
        </w:rPr>
        <w:t xml:space="preserve">                          </w:t>
      </w:r>
    </w:p>
    <w:p w14:paraId="6B024BCB">
      <w:pPr>
        <w:numPr>
          <w:ilvl w:val="255"/>
          <w:numId w:val="0"/>
        </w:num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w:t>
      </w:r>
      <w:r>
        <w:rPr>
          <w:rFonts w:hint="eastAsia" w:asciiTheme="minorEastAsia" w:hAnsiTheme="minorEastAsia" w:eastAsiaTheme="minorEastAsia" w:cstheme="minorEastAsia"/>
          <w:color w:val="auto"/>
          <w:sz w:val="21"/>
          <w:szCs w:val="21"/>
          <w:highlight w:val="none"/>
          <w:lang w:val="en-US" w:eastAsia="zh-CN"/>
        </w:rPr>
        <w:t>基准日</w:t>
      </w:r>
      <w:r>
        <w:rPr>
          <w:rFonts w:hint="eastAsia" w:ascii="宋体" w:hAnsi="宋体" w:eastAsia="宋体" w:cs="宋体"/>
          <w:b w:val="0"/>
          <w:bCs w:val="0"/>
          <w:color w:val="auto"/>
          <w:sz w:val="21"/>
          <w:szCs w:val="21"/>
          <w:highlight w:val="none"/>
          <w:lang w:val="en-US" w:eastAsia="zh-CN"/>
        </w:rPr>
        <w:t>审定的会计报表，对项目公司出具公司整体估值报告。</w:t>
      </w:r>
    </w:p>
    <w:p w14:paraId="19A2310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textAlignment w:val="auto"/>
        <w:rPr>
          <w:rFonts w:hint="default" w:ascii="宋体" w:hAnsi="宋体" w:cs="宋体"/>
          <w:b/>
          <w:bCs/>
          <w:color w:val="auto"/>
          <w:sz w:val="21"/>
          <w:szCs w:val="21"/>
          <w:highlight w:val="none"/>
          <w:lang w:val="en-US" w:eastAsia="zh-CN"/>
        </w:rPr>
      </w:pPr>
      <w:r>
        <w:rPr>
          <w:rFonts w:hint="eastAsia" w:asciiTheme="minorEastAsia" w:hAnsiTheme="minorEastAsia" w:eastAsiaTheme="minorEastAsia" w:cstheme="minorEastAsia"/>
          <w:b/>
          <w:bCs/>
          <w:color w:val="auto"/>
          <w:kern w:val="2"/>
          <w:sz w:val="21"/>
          <w:szCs w:val="21"/>
          <w:highlight w:val="none"/>
          <w:lang w:val="en-US" w:eastAsia="zh-CN" w:bidi="ar-SA"/>
        </w:rPr>
        <w:t xml:space="preserve">第三条  </w:t>
      </w:r>
      <w:r>
        <w:rPr>
          <w:rFonts w:hint="eastAsia" w:ascii="宋体" w:hAnsi="宋体" w:cs="宋体"/>
          <w:b/>
          <w:bCs/>
          <w:color w:val="auto"/>
          <w:sz w:val="21"/>
          <w:szCs w:val="21"/>
          <w:highlight w:val="none"/>
          <w:lang w:val="en-US" w:eastAsia="zh-CN"/>
        </w:rPr>
        <w:t>服务质量</w:t>
      </w:r>
    </w:p>
    <w:p w14:paraId="493425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1.服务质量要求</w:t>
      </w:r>
    </w:p>
    <w:p w14:paraId="6690BBA7">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乙方</w:t>
      </w:r>
      <w:r>
        <w:rPr>
          <w:rFonts w:hint="eastAsia" w:ascii="宋体" w:hAnsi="宋体" w:eastAsia="宋体" w:cs="宋体"/>
          <w:b w:val="0"/>
          <w:bCs w:val="0"/>
          <w:color w:val="auto"/>
          <w:sz w:val="21"/>
          <w:szCs w:val="21"/>
          <w:highlight w:val="none"/>
          <w:lang w:val="en-US" w:eastAsia="zh-CN"/>
        </w:rPr>
        <w:t>须保证按照相关要求遵守职业道德规范，恪守独立、客观、公正的原则，确保其履行职责所需要的专业胜任能力，以应有的职业谨慎态度执行评估业务。</w:t>
      </w:r>
    </w:p>
    <w:p w14:paraId="7ADC4AEE">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乙方</w:t>
      </w:r>
      <w:r>
        <w:rPr>
          <w:rFonts w:hint="eastAsia" w:ascii="宋体" w:hAnsi="宋体" w:eastAsia="宋体" w:cs="宋体"/>
          <w:b w:val="0"/>
          <w:bCs w:val="0"/>
          <w:color w:val="auto"/>
          <w:sz w:val="21"/>
          <w:szCs w:val="21"/>
          <w:highlight w:val="none"/>
          <w:lang w:val="en-US" w:eastAsia="zh-CN"/>
        </w:rPr>
        <w:t>应当在实施必要的评估程序后，以经过核实的证据为依据，分析、评价审核结论，形成评估意见，出具评估报告。保证评估报告的真实性、准确性、合法性。</w:t>
      </w:r>
    </w:p>
    <w:p w14:paraId="57A12988">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乙方</w:t>
      </w:r>
      <w:r>
        <w:rPr>
          <w:rFonts w:hint="eastAsia" w:ascii="宋体" w:hAnsi="宋体" w:eastAsia="宋体" w:cs="宋体"/>
          <w:b w:val="0"/>
          <w:bCs w:val="0"/>
          <w:color w:val="auto"/>
          <w:sz w:val="21"/>
          <w:szCs w:val="21"/>
          <w:highlight w:val="none"/>
          <w:lang w:val="en-US" w:eastAsia="zh-CN"/>
        </w:rPr>
        <w:t>可在评估过程中合理分配工作量和工作时间，必须保证在合同规定的时间内认真负责地完成合同范围内的服务工作并出具合格的报告。</w:t>
      </w:r>
    </w:p>
    <w:p w14:paraId="5CA62024">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对</w:t>
      </w:r>
      <w:r>
        <w:rPr>
          <w:rFonts w:hint="eastAsia" w:ascii="宋体" w:hAnsi="宋体" w:cs="宋体"/>
          <w:b w:val="0"/>
          <w:bCs w:val="0"/>
          <w:color w:val="auto"/>
          <w:sz w:val="21"/>
          <w:szCs w:val="21"/>
          <w:highlight w:val="none"/>
          <w:lang w:val="en-US" w:eastAsia="zh-CN"/>
        </w:rPr>
        <w:t>甲方</w:t>
      </w:r>
      <w:r>
        <w:rPr>
          <w:rFonts w:hint="eastAsia" w:ascii="宋体" w:hAnsi="宋体" w:eastAsia="宋体" w:cs="宋体"/>
          <w:b w:val="0"/>
          <w:bCs w:val="0"/>
          <w:color w:val="auto"/>
          <w:sz w:val="21"/>
          <w:szCs w:val="21"/>
          <w:highlight w:val="none"/>
          <w:lang w:val="en-US" w:eastAsia="zh-CN"/>
        </w:rPr>
        <w:t>或被评估单位所提供的有关文件资料和执业过程中获知的商业秘密，应妥善保管并负保密责任。除法律、法规另有规定的以外，未经</w:t>
      </w:r>
      <w:r>
        <w:rPr>
          <w:rFonts w:hint="eastAsia" w:ascii="宋体" w:hAnsi="宋体" w:cs="宋体"/>
          <w:b w:val="0"/>
          <w:bCs w:val="0"/>
          <w:color w:val="auto"/>
          <w:sz w:val="21"/>
          <w:szCs w:val="21"/>
          <w:highlight w:val="none"/>
          <w:lang w:val="en-US" w:eastAsia="zh-CN"/>
        </w:rPr>
        <w:t>甲方</w:t>
      </w:r>
      <w:r>
        <w:rPr>
          <w:rFonts w:hint="eastAsia" w:ascii="宋体" w:hAnsi="宋体" w:eastAsia="宋体" w:cs="宋体"/>
          <w:b w:val="0"/>
          <w:bCs w:val="0"/>
          <w:color w:val="auto"/>
          <w:sz w:val="21"/>
          <w:szCs w:val="21"/>
          <w:highlight w:val="none"/>
          <w:lang w:val="en-US" w:eastAsia="zh-CN"/>
        </w:rPr>
        <w:t>书面许可，</w:t>
      </w:r>
      <w:r>
        <w:rPr>
          <w:rFonts w:hint="eastAsia" w:ascii="宋体" w:hAnsi="宋体" w:cs="宋体"/>
          <w:b w:val="0"/>
          <w:bCs w:val="0"/>
          <w:color w:val="auto"/>
          <w:sz w:val="21"/>
          <w:szCs w:val="21"/>
          <w:highlight w:val="none"/>
          <w:lang w:val="en-US" w:eastAsia="zh-CN"/>
        </w:rPr>
        <w:t>乙方</w:t>
      </w:r>
      <w:r>
        <w:rPr>
          <w:rFonts w:hint="eastAsia" w:ascii="宋体" w:hAnsi="宋体" w:eastAsia="宋体" w:cs="宋体"/>
          <w:b w:val="0"/>
          <w:bCs w:val="0"/>
          <w:color w:val="auto"/>
          <w:sz w:val="21"/>
          <w:szCs w:val="21"/>
          <w:highlight w:val="none"/>
          <w:lang w:val="en-US" w:eastAsia="zh-CN"/>
        </w:rPr>
        <w:t>不得将评估报告内容，以及</w:t>
      </w:r>
      <w:r>
        <w:rPr>
          <w:rFonts w:hint="eastAsia" w:ascii="宋体" w:hAnsi="宋体" w:cs="宋体"/>
          <w:b w:val="0"/>
          <w:bCs w:val="0"/>
          <w:color w:val="auto"/>
          <w:sz w:val="21"/>
          <w:szCs w:val="21"/>
          <w:highlight w:val="none"/>
          <w:lang w:val="en-US" w:eastAsia="zh-CN"/>
        </w:rPr>
        <w:t>甲方</w:t>
      </w:r>
      <w:r>
        <w:rPr>
          <w:rFonts w:hint="eastAsia" w:ascii="宋体" w:hAnsi="宋体" w:eastAsia="宋体" w:cs="宋体"/>
          <w:b w:val="0"/>
          <w:bCs w:val="0"/>
          <w:color w:val="auto"/>
          <w:sz w:val="21"/>
          <w:szCs w:val="21"/>
          <w:highlight w:val="none"/>
          <w:lang w:val="en-US" w:eastAsia="zh-CN"/>
        </w:rPr>
        <w:t>或被评估单位提供的有关文件资料和执业过程中获知的商业秘密向第三方提供或者公开。上述保密义务，在本项目终止或合同解除之后仍需履行。</w:t>
      </w:r>
    </w:p>
    <w:p w14:paraId="0F763DB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2.</w:t>
      </w:r>
      <w:r>
        <w:rPr>
          <w:rFonts w:hint="eastAsia" w:ascii="宋体" w:hAnsi="宋体" w:cs="宋体"/>
          <w:b/>
          <w:bCs/>
          <w:color w:val="auto"/>
          <w:szCs w:val="21"/>
          <w:highlight w:val="none"/>
        </w:rPr>
        <w:t>服务人员要求</w:t>
      </w:r>
    </w:p>
    <w:p w14:paraId="3FC3A467">
      <w:pPr>
        <w:numPr>
          <w:ilvl w:val="255"/>
          <w:numId w:val="0"/>
        </w:num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本</w:t>
      </w:r>
      <w:r>
        <w:rPr>
          <w:rFonts w:hint="eastAsia" w:ascii="宋体" w:hAnsi="宋体" w:eastAsia="宋体" w:cs="宋体"/>
          <w:color w:val="auto"/>
          <w:sz w:val="21"/>
          <w:szCs w:val="21"/>
          <w:highlight w:val="none"/>
          <w:lang w:val="en-US" w:eastAsia="zh-CN"/>
        </w:rPr>
        <w:t>项目</w:t>
      </w:r>
      <w:r>
        <w:rPr>
          <w:rFonts w:hint="eastAsia" w:ascii="宋体" w:hAnsi="宋体" w:cs="宋体"/>
          <w:color w:val="auto"/>
          <w:sz w:val="21"/>
          <w:szCs w:val="21"/>
          <w:highlight w:val="none"/>
          <w:lang w:val="en-US" w:eastAsia="zh-CN"/>
        </w:rPr>
        <w:t>对乙方</w:t>
      </w:r>
      <w:r>
        <w:rPr>
          <w:rFonts w:hint="eastAsia" w:ascii="宋体" w:hAnsi="宋体" w:eastAsia="宋体" w:cs="宋体"/>
          <w:color w:val="auto"/>
          <w:sz w:val="21"/>
          <w:szCs w:val="21"/>
          <w:highlight w:val="none"/>
          <w:lang w:val="en-US" w:eastAsia="zh-CN"/>
        </w:rPr>
        <w:t>服务专业要求高，</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必须配备经验丰富、数量足够的专业人员，确保</w:t>
      </w:r>
      <w:r>
        <w:rPr>
          <w:rFonts w:hint="eastAsia" w:ascii="宋体" w:hAnsi="宋体" w:cs="宋体"/>
          <w:color w:val="auto"/>
          <w:sz w:val="21"/>
          <w:szCs w:val="21"/>
          <w:highlight w:val="none"/>
          <w:lang w:val="en-US" w:eastAsia="zh-CN"/>
        </w:rPr>
        <w:t>评估</w:t>
      </w:r>
      <w:r>
        <w:rPr>
          <w:rFonts w:hint="eastAsia" w:ascii="宋体" w:hAnsi="宋体" w:eastAsia="宋体" w:cs="宋体"/>
          <w:color w:val="auto"/>
          <w:sz w:val="21"/>
          <w:szCs w:val="21"/>
          <w:highlight w:val="none"/>
          <w:lang w:val="en-US" w:eastAsia="zh-CN"/>
        </w:rPr>
        <w:t>工作质量。</w:t>
      </w:r>
    </w:p>
    <w:p w14:paraId="69D709E4">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服务团队项目负责人要求具有</w:t>
      </w:r>
      <w:r>
        <w:rPr>
          <w:rFonts w:hint="eastAsia" w:ascii="宋体" w:hAnsi="宋体" w:cs="宋体"/>
          <w:color w:val="auto"/>
          <w:sz w:val="22"/>
          <w:szCs w:val="22"/>
          <w:highlight w:val="none"/>
          <w:lang w:val="en-US" w:eastAsia="zh-CN"/>
        </w:rPr>
        <w:t>资产评估师证书</w:t>
      </w:r>
      <w:r>
        <w:rPr>
          <w:rFonts w:hint="eastAsia" w:ascii="宋体" w:hAnsi="宋体" w:eastAsia="宋体" w:cs="宋体"/>
          <w:color w:val="auto"/>
          <w:sz w:val="21"/>
          <w:szCs w:val="21"/>
          <w:highlight w:val="none"/>
          <w:lang w:val="en-US" w:eastAsia="zh-CN"/>
        </w:rPr>
        <w:t>，执业经验</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年以上</w:t>
      </w:r>
      <w:r>
        <w:rPr>
          <w:rFonts w:hint="eastAsia" w:asciiTheme="minorEastAsia" w:hAnsiTheme="minorEastAsia" w:eastAsiaTheme="minorEastAsia" w:cstheme="minorEastAsia"/>
          <w:color w:val="auto"/>
          <w:sz w:val="21"/>
          <w:szCs w:val="21"/>
          <w:highlight w:val="none"/>
          <w:lang w:val="en-US" w:eastAsia="zh-CN"/>
        </w:rPr>
        <w:t>。</w:t>
      </w:r>
    </w:p>
    <w:p w14:paraId="302E1A81">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第四条  合同价格及其支付方式</w:t>
      </w:r>
    </w:p>
    <w:p w14:paraId="3AEBC6BD">
      <w:pPr>
        <w:spacing w:line="360" w:lineRule="auto"/>
        <w:ind w:firstLine="420" w:firstLineChars="200"/>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1.合同金额：</w:t>
      </w:r>
    </w:p>
    <w:p w14:paraId="6F969D50">
      <w:p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本合同（含税）总价款为</w:t>
      </w:r>
      <w:r>
        <w:rPr>
          <w:rFonts w:hint="eastAsia" w:asciiTheme="minorEastAsia" w:hAnsiTheme="minorEastAsia" w:eastAsiaTheme="minorEastAsia" w:cstheme="minorEastAsia"/>
          <w:color w:val="auto"/>
          <w:sz w:val="21"/>
          <w:szCs w:val="21"/>
          <w:highlight w:val="none"/>
          <w:u w:val="single"/>
          <w:lang w:val="en-US" w:eastAsia="zh-CN"/>
        </w:rPr>
        <w:t>￥    元</w:t>
      </w:r>
      <w:r>
        <w:rPr>
          <w:rFonts w:hint="eastAsia" w:asciiTheme="minorEastAsia" w:hAnsiTheme="minorEastAsia" w:eastAsiaTheme="minorEastAsia" w:cstheme="minorEastAsia"/>
          <w:color w:val="auto"/>
          <w:sz w:val="21"/>
          <w:szCs w:val="21"/>
          <w:highlight w:val="none"/>
          <w:lang w:val="en-US" w:eastAsia="zh-CN"/>
        </w:rPr>
        <w:t>（大写人民币：</w:t>
      </w:r>
      <w:r>
        <w:rPr>
          <w:rFonts w:hint="eastAsia" w:asciiTheme="minorEastAsia" w:hAnsiTheme="minorEastAsia" w:eastAsiaTheme="minorEastAsia" w:cstheme="minorEastAsia"/>
          <w:color w:val="auto"/>
          <w:sz w:val="21"/>
          <w:szCs w:val="21"/>
          <w:highlight w:val="none"/>
          <w:u w:val="single"/>
          <w:lang w:val="en-US" w:eastAsia="zh-CN"/>
        </w:rPr>
        <w:t xml:space="preserve">    元</w:t>
      </w:r>
      <w:r>
        <w:rPr>
          <w:rFonts w:hint="eastAsia" w:asciiTheme="minorEastAsia" w:hAnsiTheme="minorEastAsia" w:eastAsiaTheme="minorEastAsia" w:cstheme="minorEastAsia"/>
          <w:color w:val="auto"/>
          <w:sz w:val="21"/>
          <w:szCs w:val="21"/>
          <w:highlight w:val="none"/>
          <w:lang w:val="en-US" w:eastAsia="zh-CN"/>
        </w:rPr>
        <w:t>，其中：增值税率 为</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lang w:val="en-US" w:eastAsia="zh-CN"/>
        </w:rPr>
        <w:t>，税金金额￥</w:t>
      </w:r>
      <w:r>
        <w:rPr>
          <w:rFonts w:hint="eastAsia" w:asciiTheme="minorEastAsia" w:hAnsiTheme="minorEastAsia" w:eastAsiaTheme="minorEastAsia" w:cstheme="minorEastAsia"/>
          <w:color w:val="auto"/>
          <w:sz w:val="21"/>
          <w:szCs w:val="21"/>
          <w:highlight w:val="none"/>
          <w:u w:val="single"/>
          <w:lang w:val="en-US" w:eastAsia="zh-CN"/>
        </w:rPr>
        <w:t xml:space="preserve">    元</w:t>
      </w:r>
      <w:r>
        <w:rPr>
          <w:rFonts w:hint="eastAsia" w:asciiTheme="minorEastAsia" w:hAnsiTheme="minorEastAsia" w:eastAsiaTheme="minorEastAsia" w:cstheme="minorEastAsia"/>
          <w:color w:val="auto"/>
          <w:sz w:val="21"/>
          <w:szCs w:val="21"/>
          <w:highlight w:val="none"/>
          <w:lang w:val="en-US" w:eastAsia="zh-CN"/>
        </w:rPr>
        <w:t>，不含税合同总价款为￥</w:t>
      </w:r>
      <w:r>
        <w:rPr>
          <w:rFonts w:hint="eastAsia" w:asciiTheme="minorEastAsia" w:hAnsiTheme="minorEastAsia" w:eastAsiaTheme="minorEastAsia" w:cstheme="minorEastAsia"/>
          <w:color w:val="auto"/>
          <w:sz w:val="21"/>
          <w:szCs w:val="21"/>
          <w:highlight w:val="none"/>
          <w:u w:val="single"/>
          <w:lang w:val="en-US" w:eastAsia="zh-CN"/>
        </w:rPr>
        <w:t xml:space="preserve">    元</w:t>
      </w:r>
      <w:r>
        <w:rPr>
          <w:rFonts w:hint="eastAsia" w:asciiTheme="minorEastAsia" w:hAnsiTheme="minorEastAsia" w:eastAsiaTheme="minorEastAsia" w:cstheme="minorEastAsia"/>
          <w:color w:val="auto"/>
          <w:sz w:val="21"/>
          <w:szCs w:val="21"/>
          <w:highlight w:val="none"/>
          <w:lang w:val="en-US" w:eastAsia="zh-CN"/>
        </w:rPr>
        <w:t>。</w:t>
      </w:r>
    </w:p>
    <w:p w14:paraId="4BCFD37E">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.付款方式</w:t>
      </w:r>
      <w:r>
        <w:rPr>
          <w:rFonts w:hint="eastAsia" w:asciiTheme="minorEastAsia" w:hAnsiTheme="minorEastAsia" w:eastAsiaTheme="minorEastAsia" w:cstheme="minorEastAsia"/>
          <w:color w:val="auto"/>
          <w:sz w:val="21"/>
          <w:szCs w:val="21"/>
          <w:highlight w:val="none"/>
          <w:lang w:eastAsia="zh-CN"/>
        </w:rPr>
        <w:t>：</w:t>
      </w:r>
    </w:p>
    <w:p w14:paraId="1CAD365D">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出具相关报告定稿并</w:t>
      </w:r>
      <w:r>
        <w:rPr>
          <w:rFonts w:hint="eastAsia" w:asciiTheme="minorEastAsia" w:hAnsiTheme="minorEastAsia" w:eastAsiaTheme="minorEastAsia" w:cstheme="minorEastAsia"/>
          <w:color w:val="auto"/>
          <w:sz w:val="21"/>
          <w:szCs w:val="21"/>
          <w:highlight w:val="none"/>
        </w:rPr>
        <w:t>由</w:t>
      </w:r>
      <w:r>
        <w:rPr>
          <w:rFonts w:hint="eastAsia" w:asciiTheme="minorEastAsia" w:hAnsiTheme="minorEastAsia" w:eastAsiaTheme="minorEastAsia" w:cstheme="minorEastAsia"/>
          <w:color w:val="auto"/>
          <w:sz w:val="21"/>
          <w:szCs w:val="21"/>
          <w:highlight w:val="none"/>
          <w:lang w:val="en-US" w:eastAsia="zh-CN"/>
        </w:rPr>
        <w:t>甲方</w:t>
      </w:r>
      <w:r>
        <w:rPr>
          <w:rFonts w:hint="eastAsia" w:asciiTheme="minorEastAsia" w:hAnsiTheme="minorEastAsia" w:eastAsiaTheme="minorEastAsia" w:cstheme="minorEastAsia"/>
          <w:color w:val="auto"/>
          <w:sz w:val="21"/>
          <w:szCs w:val="21"/>
          <w:highlight w:val="none"/>
        </w:rPr>
        <w:t>确认无误</w:t>
      </w:r>
      <w:r>
        <w:rPr>
          <w:rFonts w:hint="eastAsia" w:asciiTheme="minorEastAsia" w:hAnsiTheme="minorEastAsia" w:eastAsiaTheme="minorEastAsia" w:cstheme="minorEastAsia"/>
          <w:color w:val="auto"/>
          <w:sz w:val="21"/>
          <w:szCs w:val="21"/>
          <w:highlight w:val="none"/>
          <w:lang w:val="en-US" w:eastAsia="zh-CN"/>
        </w:rPr>
        <w:t>之日起5个工作日内支付合同金额的100%</w:t>
      </w:r>
      <w:r>
        <w:rPr>
          <w:rFonts w:hint="eastAsia" w:asciiTheme="minorEastAsia" w:hAnsiTheme="minorEastAsia" w:eastAsiaTheme="minorEastAsia" w:cstheme="minorEastAsia"/>
          <w:color w:val="auto"/>
          <w:sz w:val="21"/>
          <w:szCs w:val="21"/>
          <w:highlight w:val="none"/>
        </w:rPr>
        <w:t>。</w:t>
      </w:r>
    </w:p>
    <w:p w14:paraId="3BC74481">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按照现行税收政策规定，每次付款前，乙方必须提供合法、有效、与本合同总价款条款中增值税税率一致的增值税专用发票给甲方，否则甲方有权拒绝付款且不构成违约；若合同执行期间，遇国家税务政策调整所引起的合同价格变化，按照不含税价格调整结算价格。</w:t>
      </w:r>
    </w:p>
    <w:p w14:paraId="0A017E36">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3、甲</w:t>
      </w:r>
      <w:r>
        <w:rPr>
          <w:rFonts w:hint="eastAsia" w:asciiTheme="minorEastAsia" w:hAnsiTheme="minorEastAsia" w:eastAsiaTheme="minorEastAsia" w:cstheme="minorEastAsia"/>
          <w:color w:val="auto"/>
          <w:sz w:val="21"/>
          <w:szCs w:val="21"/>
          <w:highlight w:val="none"/>
        </w:rPr>
        <w:t xml:space="preserve">方开票信息如下： </w:t>
      </w:r>
    </w:p>
    <w:p w14:paraId="7FA98A40">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公司名称：</w:t>
      </w:r>
      <w:r>
        <w:rPr>
          <w:rFonts w:hint="eastAsia" w:asciiTheme="minorEastAsia" w:hAnsiTheme="minorEastAsia" w:eastAsiaTheme="minorEastAsia" w:cstheme="minorEastAsia"/>
          <w:color w:val="auto"/>
          <w:sz w:val="21"/>
          <w:szCs w:val="21"/>
          <w:highlight w:val="none"/>
          <w:lang w:val="en-US" w:eastAsia="zh-CN"/>
        </w:rPr>
        <w:t xml:space="preserve"> </w:t>
      </w:r>
    </w:p>
    <w:p w14:paraId="66804228">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税号：</w:t>
      </w:r>
      <w:r>
        <w:rPr>
          <w:rFonts w:hint="eastAsia" w:asciiTheme="minorEastAsia" w:hAnsiTheme="minorEastAsia" w:eastAsiaTheme="minorEastAsia" w:cstheme="minorEastAsia"/>
          <w:color w:val="auto"/>
          <w:sz w:val="21"/>
          <w:szCs w:val="21"/>
          <w:highlight w:val="none"/>
          <w:lang w:val="en-US" w:eastAsia="zh-CN"/>
        </w:rPr>
        <w:t xml:space="preserve"> </w:t>
      </w:r>
    </w:p>
    <w:p w14:paraId="66C29789">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地址：</w:t>
      </w:r>
      <w:r>
        <w:rPr>
          <w:rFonts w:hint="eastAsia" w:asciiTheme="minorEastAsia" w:hAnsiTheme="minorEastAsia" w:eastAsiaTheme="minorEastAsia" w:cstheme="minorEastAsia"/>
          <w:color w:val="auto"/>
          <w:sz w:val="21"/>
          <w:szCs w:val="21"/>
          <w:highlight w:val="none"/>
          <w:lang w:val="en-US" w:eastAsia="zh-CN"/>
        </w:rPr>
        <w:t xml:space="preserve"> </w:t>
      </w:r>
    </w:p>
    <w:p w14:paraId="45DB6176">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开户银行：</w:t>
      </w:r>
    </w:p>
    <w:p w14:paraId="0C2EFD18">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账号：</w:t>
      </w:r>
    </w:p>
    <w:p w14:paraId="730CFE70">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本合同</w:t>
      </w:r>
      <w:r>
        <w:rPr>
          <w:rFonts w:hint="eastAsia" w:asciiTheme="minorEastAsia" w:hAnsiTheme="minorEastAsia" w:eastAsiaTheme="minorEastAsia" w:cstheme="minorEastAsia"/>
          <w:color w:val="auto"/>
          <w:sz w:val="21"/>
          <w:szCs w:val="21"/>
          <w:highlight w:val="none"/>
          <w:lang w:val="en-US" w:eastAsia="zh-CN"/>
        </w:rPr>
        <w:t>有关</w:t>
      </w:r>
      <w:r>
        <w:rPr>
          <w:rFonts w:hint="eastAsia" w:asciiTheme="minorEastAsia" w:hAnsiTheme="minorEastAsia" w:eastAsiaTheme="minorEastAsia" w:cstheme="minorEastAsia"/>
          <w:color w:val="auto"/>
          <w:sz w:val="21"/>
          <w:szCs w:val="21"/>
          <w:highlight w:val="none"/>
        </w:rPr>
        <w:t>款项，</w:t>
      </w:r>
      <w:r>
        <w:rPr>
          <w:rFonts w:hint="eastAsia" w:asciiTheme="minorEastAsia" w:hAnsiTheme="minorEastAsia" w:eastAsiaTheme="minorEastAsia" w:cstheme="minorEastAsia"/>
          <w:color w:val="auto"/>
          <w:sz w:val="21"/>
          <w:szCs w:val="21"/>
          <w:highlight w:val="none"/>
          <w:lang w:val="en-US" w:eastAsia="zh-CN"/>
        </w:rPr>
        <w:t>甲方</w:t>
      </w:r>
      <w:r>
        <w:rPr>
          <w:rFonts w:hint="eastAsia" w:asciiTheme="minorEastAsia" w:hAnsiTheme="minorEastAsia" w:eastAsiaTheme="minorEastAsia" w:cstheme="minorEastAsia"/>
          <w:color w:val="auto"/>
          <w:sz w:val="21"/>
          <w:szCs w:val="21"/>
          <w:highlight w:val="none"/>
        </w:rPr>
        <w:t>采用公对公银行转账方式</w:t>
      </w:r>
      <w:r>
        <w:rPr>
          <w:rFonts w:hint="eastAsia" w:asciiTheme="minorEastAsia" w:hAnsiTheme="minorEastAsia" w:eastAsiaTheme="minorEastAsia" w:cstheme="minorEastAsia"/>
          <w:color w:val="auto"/>
          <w:sz w:val="21"/>
          <w:szCs w:val="21"/>
          <w:highlight w:val="none"/>
          <w:lang w:val="en-US" w:eastAsia="zh-CN"/>
        </w:rPr>
        <w:t>分别</w:t>
      </w:r>
      <w:r>
        <w:rPr>
          <w:rFonts w:hint="eastAsia" w:asciiTheme="minorEastAsia" w:hAnsiTheme="minorEastAsia" w:eastAsiaTheme="minorEastAsia" w:cstheme="minorEastAsia"/>
          <w:color w:val="auto"/>
          <w:sz w:val="21"/>
          <w:szCs w:val="21"/>
          <w:highlight w:val="none"/>
        </w:rPr>
        <w:t>付至乙方以下账户：</w:t>
      </w:r>
    </w:p>
    <w:p w14:paraId="01E051D5">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乙</w:t>
      </w:r>
      <w:r>
        <w:rPr>
          <w:rFonts w:hint="eastAsia" w:asciiTheme="minorEastAsia" w:hAnsiTheme="minorEastAsia" w:eastAsiaTheme="minorEastAsia" w:cstheme="minorEastAsia"/>
          <w:color w:val="auto"/>
          <w:sz w:val="21"/>
          <w:szCs w:val="21"/>
          <w:highlight w:val="none"/>
        </w:rPr>
        <w:t>方银行账户信息</w:t>
      </w:r>
    </w:p>
    <w:p w14:paraId="17F84EE4">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u w:val="single"/>
          <w:lang w:val="en-US" w:eastAsia="zh-CN"/>
        </w:rPr>
      </w:pPr>
      <w:r>
        <w:rPr>
          <w:rFonts w:hint="eastAsia" w:asciiTheme="minorEastAsia" w:hAnsiTheme="minorEastAsia" w:eastAsiaTheme="minorEastAsia" w:cstheme="minorEastAsia"/>
          <w:color w:val="auto"/>
          <w:sz w:val="21"/>
          <w:szCs w:val="21"/>
          <w:highlight w:val="none"/>
          <w:lang w:val="en-US" w:eastAsia="zh-CN"/>
        </w:rPr>
        <w:t>账户名称：</w:t>
      </w:r>
      <w:r>
        <w:rPr>
          <w:rFonts w:hint="eastAsia" w:asciiTheme="minorEastAsia" w:hAnsiTheme="minorEastAsia" w:eastAsiaTheme="minorEastAsia" w:cstheme="minorEastAsia"/>
          <w:color w:val="auto"/>
          <w:sz w:val="21"/>
          <w:szCs w:val="21"/>
          <w:highlight w:val="none"/>
          <w:u w:val="single"/>
          <w:lang w:val="en-US" w:eastAsia="zh-CN"/>
        </w:rPr>
        <w:t xml:space="preserve">                                 </w:t>
      </w:r>
    </w:p>
    <w:p w14:paraId="7F13DCEE">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开户银行：</w:t>
      </w:r>
      <w:r>
        <w:rPr>
          <w:rFonts w:hint="eastAsia" w:asciiTheme="minorEastAsia" w:hAnsiTheme="minorEastAsia" w:eastAsiaTheme="minorEastAsia" w:cstheme="minorEastAsia"/>
          <w:color w:val="auto"/>
          <w:sz w:val="21"/>
          <w:szCs w:val="21"/>
          <w:highlight w:val="none"/>
          <w:u w:val="single"/>
          <w:lang w:val="en-US" w:eastAsia="zh-CN"/>
        </w:rPr>
        <w:t xml:space="preserve">                                 </w:t>
      </w:r>
    </w:p>
    <w:p w14:paraId="630E7EB6">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银行</w:t>
      </w:r>
      <w:r>
        <w:rPr>
          <w:rFonts w:hint="eastAsia" w:asciiTheme="minorEastAsia" w:hAnsiTheme="minorEastAsia" w:eastAsiaTheme="minorEastAsia" w:cstheme="minorEastAsia"/>
          <w:color w:val="auto"/>
          <w:sz w:val="21"/>
          <w:szCs w:val="21"/>
          <w:highlight w:val="none"/>
        </w:rPr>
        <w:t>账号：</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lang w:val="en-US" w:eastAsia="zh-CN"/>
        </w:rPr>
        <w:t xml:space="preserve">                                </w:t>
      </w:r>
    </w:p>
    <w:p w14:paraId="3A0FF975">
      <w:pPr>
        <w:spacing w:line="360" w:lineRule="auto"/>
        <w:rPr>
          <w:rFonts w:hint="default" w:ascii="宋体" w:hAnsi="宋体" w:eastAsia="宋体" w:cs="宋体"/>
          <w:b/>
          <w:color w:val="auto"/>
          <w:sz w:val="21"/>
          <w:szCs w:val="21"/>
          <w:highlight w:val="none"/>
          <w:lang w:val="en-US" w:eastAsia="zh-CN"/>
        </w:rPr>
      </w:pPr>
      <w:r>
        <w:rPr>
          <w:rFonts w:hint="eastAsia" w:asciiTheme="minorEastAsia" w:hAnsiTheme="minorEastAsia" w:eastAsiaTheme="minorEastAsia" w:cstheme="minorEastAsia"/>
          <w:b/>
          <w:bCs/>
          <w:color w:val="auto"/>
          <w:kern w:val="2"/>
          <w:sz w:val="21"/>
          <w:szCs w:val="21"/>
          <w:highlight w:val="none"/>
          <w:lang w:val="en-US" w:eastAsia="zh-CN" w:bidi="ar-SA"/>
        </w:rPr>
        <w:t xml:space="preserve">第五条  </w:t>
      </w:r>
      <w:r>
        <w:rPr>
          <w:rFonts w:hint="eastAsia" w:ascii="宋体" w:hAnsi="宋体" w:eastAsia="宋体" w:cs="宋体"/>
          <w:b/>
          <w:color w:val="auto"/>
          <w:sz w:val="21"/>
          <w:szCs w:val="21"/>
          <w:highlight w:val="none"/>
        </w:rPr>
        <w:t>合同</w:t>
      </w:r>
      <w:r>
        <w:rPr>
          <w:rFonts w:hint="eastAsia" w:ascii="宋体" w:hAnsi="宋体" w:eastAsia="宋体" w:cs="宋体"/>
          <w:b/>
          <w:color w:val="auto"/>
          <w:sz w:val="21"/>
          <w:szCs w:val="21"/>
          <w:highlight w:val="none"/>
          <w:lang w:val="en-US" w:eastAsia="zh-CN"/>
        </w:rPr>
        <w:t>服务期</w:t>
      </w:r>
    </w:p>
    <w:p w14:paraId="6DB6DB3E">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合同</w:t>
      </w:r>
      <w:r>
        <w:rPr>
          <w:rFonts w:hint="eastAsia" w:asciiTheme="minorEastAsia" w:hAnsiTheme="minorEastAsia" w:eastAsiaTheme="minorEastAsia" w:cstheme="minorEastAsia"/>
          <w:color w:val="auto"/>
          <w:sz w:val="21"/>
          <w:szCs w:val="21"/>
          <w:highlight w:val="none"/>
          <w:lang w:val="en-US" w:eastAsia="zh-CN"/>
        </w:rPr>
        <w:t>服务期：</w:t>
      </w:r>
      <w:r>
        <w:rPr>
          <w:rFonts w:hint="eastAsia" w:asciiTheme="minorEastAsia" w:hAnsiTheme="minorEastAsia" w:eastAsiaTheme="minorEastAsia" w:cstheme="minorEastAsia"/>
          <w:color w:val="auto"/>
          <w:sz w:val="21"/>
          <w:szCs w:val="21"/>
          <w:highlight w:val="none"/>
        </w:rPr>
        <w:t>项目合同签订之日起至项目相关报告</w:t>
      </w:r>
      <w:r>
        <w:rPr>
          <w:rFonts w:hint="eastAsia" w:asciiTheme="minorEastAsia" w:hAnsiTheme="minorEastAsia" w:eastAsiaTheme="minorEastAsia" w:cstheme="minorEastAsia"/>
          <w:color w:val="auto"/>
          <w:sz w:val="21"/>
          <w:szCs w:val="21"/>
          <w:highlight w:val="none"/>
          <w:lang w:val="en-US" w:eastAsia="zh-CN"/>
        </w:rPr>
        <w:t>提交甲方</w:t>
      </w:r>
      <w:r>
        <w:rPr>
          <w:rFonts w:hint="eastAsia" w:asciiTheme="minorEastAsia" w:hAnsiTheme="minorEastAsia" w:eastAsiaTheme="minorEastAsia" w:cstheme="minorEastAsia"/>
          <w:color w:val="auto"/>
          <w:sz w:val="21"/>
          <w:szCs w:val="21"/>
          <w:highlight w:val="none"/>
        </w:rPr>
        <w:t>并由</w:t>
      </w:r>
      <w:r>
        <w:rPr>
          <w:rFonts w:hint="eastAsia" w:asciiTheme="minorEastAsia" w:hAnsiTheme="minorEastAsia" w:eastAsiaTheme="minorEastAsia" w:cstheme="minorEastAsia"/>
          <w:color w:val="auto"/>
          <w:sz w:val="21"/>
          <w:szCs w:val="21"/>
          <w:highlight w:val="none"/>
          <w:lang w:val="en-US" w:eastAsia="zh-CN"/>
        </w:rPr>
        <w:t>甲方</w:t>
      </w:r>
      <w:r>
        <w:rPr>
          <w:rFonts w:hint="eastAsia" w:asciiTheme="minorEastAsia" w:hAnsiTheme="minorEastAsia" w:eastAsiaTheme="minorEastAsia" w:cstheme="minorEastAsia"/>
          <w:color w:val="auto"/>
          <w:sz w:val="21"/>
          <w:szCs w:val="21"/>
          <w:highlight w:val="none"/>
        </w:rPr>
        <w:t>确认无误时止。</w:t>
      </w:r>
    </w:p>
    <w:p w14:paraId="5B8B0843">
      <w:pPr>
        <w:numPr>
          <w:ilvl w:val="255"/>
          <w:numId w:val="0"/>
        </w:numPr>
        <w:spacing w:line="360" w:lineRule="auto"/>
        <w:ind w:firstLine="420" w:firstLineChars="200"/>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2.相关报告提交期限：依据本合同的有关规定，在甲方资料提供齐全后10个工作日提交相关报告初稿。相关报告初稿经甲方确认后10个工作日提交相关报告定稿。</w:t>
      </w:r>
    </w:p>
    <w:p w14:paraId="602C1DA9">
      <w:pPr>
        <w:numPr>
          <w:ilvl w:val="255"/>
          <w:numId w:val="0"/>
        </w:numPr>
        <w:spacing w:line="360" w:lineRule="auto"/>
        <w:ind w:firstLine="420" w:firstLineChars="200"/>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3.相关报告提交方式：乙方按约定以快递/送达甲方住所的方式向甲方提交正式报告书一式五份。</w:t>
      </w:r>
    </w:p>
    <w:p w14:paraId="460BCAD0">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第六条  甲方的权利与义务</w:t>
      </w:r>
    </w:p>
    <w:p w14:paraId="6E51DEFD">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执行本项目</w:t>
      </w:r>
      <w:r>
        <w:rPr>
          <w:rFonts w:hint="eastAsia" w:asciiTheme="minorEastAsia" w:hAnsiTheme="minorEastAsia" w:eastAsiaTheme="minorEastAsia" w:cstheme="minorEastAsia"/>
          <w:color w:val="auto"/>
          <w:sz w:val="21"/>
          <w:szCs w:val="21"/>
          <w:highlight w:val="none"/>
          <w:lang w:eastAsia="zh-CN"/>
        </w:rPr>
        <w:t>谈判</w:t>
      </w:r>
      <w:r>
        <w:rPr>
          <w:rFonts w:hint="eastAsia" w:asciiTheme="minorEastAsia" w:hAnsiTheme="minorEastAsia" w:eastAsiaTheme="minorEastAsia" w:cstheme="minorEastAsia"/>
          <w:color w:val="auto"/>
          <w:sz w:val="21"/>
          <w:szCs w:val="21"/>
          <w:highlight w:val="none"/>
        </w:rPr>
        <w:t>文件及技术方案关于项目计划、职责、管理要求等规定内容。</w:t>
      </w:r>
    </w:p>
    <w:p w14:paraId="27428AB5">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(一)甲方权利</w:t>
      </w:r>
    </w:p>
    <w:p w14:paraId="504D1B88">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1.甲方有权在项目实施过程中对乙方的进度执行情况进行监督、检查和指导。有权要求乙方提交工作</w:t>
      </w:r>
      <w:r>
        <w:rPr>
          <w:rFonts w:hint="eastAsia" w:asciiTheme="minorEastAsia" w:hAnsiTheme="minorEastAsia" w:eastAsiaTheme="minorEastAsia" w:cstheme="minorEastAsia"/>
          <w:color w:val="auto"/>
          <w:sz w:val="21"/>
          <w:szCs w:val="21"/>
          <w:highlight w:val="none"/>
          <w:lang w:val="en-US" w:eastAsia="zh-CN"/>
        </w:rPr>
        <w:t>报告</w:t>
      </w:r>
      <w:r>
        <w:rPr>
          <w:rFonts w:hint="eastAsia" w:asciiTheme="minorEastAsia" w:hAnsiTheme="minorEastAsia" w:eastAsiaTheme="minorEastAsia" w:cstheme="minorEastAsia"/>
          <w:color w:val="auto"/>
          <w:sz w:val="21"/>
          <w:szCs w:val="21"/>
          <w:highlight w:val="none"/>
        </w:rPr>
        <w:t>。</w:t>
      </w:r>
    </w:p>
    <w:p w14:paraId="72285B56">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 当甲方发现乙方人员不按合同及采购需求书约定履行职责，甲方有权要求乙方更换项目人员，直到终止合同并要求乙方承担相应的赔偿责任。</w:t>
      </w:r>
    </w:p>
    <w:p w14:paraId="1E7640D0">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3.本合同成果的知识产权含著作权、申请专利权和专利权及所有权等权利归甲方所有。</w:t>
      </w:r>
    </w:p>
    <w:p w14:paraId="23CF4D7B">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(二)甲方义务</w:t>
      </w:r>
    </w:p>
    <w:p w14:paraId="36EA1A32">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1.甲方派出业务人员配合乙方完成采购需求书所规定的内容及成果。</w:t>
      </w:r>
    </w:p>
    <w:p w14:paraId="25A4B7DF">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 甲方授权</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rPr>
        <w:t>作为联系代表，负责与乙方联系。若更换联系代表，应当提前通知乙方。</w:t>
      </w:r>
    </w:p>
    <w:p w14:paraId="59042688">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 甲方按本合同约定支付合同款。</w:t>
      </w:r>
    </w:p>
    <w:p w14:paraId="2474FE46">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 组织项目成果的审查和验收。</w:t>
      </w:r>
    </w:p>
    <w:p w14:paraId="65609221">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第七条  乙方的权利与义务</w:t>
      </w:r>
    </w:p>
    <w:p w14:paraId="19831C90">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(一)乙方权利</w:t>
      </w:r>
    </w:p>
    <w:p w14:paraId="7B16AF9B">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1.乙方有权按本合同约定获得合同款。</w:t>
      </w:r>
    </w:p>
    <w:p w14:paraId="077C7DAE">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2.乙方有权对项目实施工作中出现的管理和协调问题提出具体的意见和解决建议。</w:t>
      </w:r>
    </w:p>
    <w:p w14:paraId="37F1FBE9">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 甲方授权乙方行使的其他职权。</w:t>
      </w:r>
    </w:p>
    <w:p w14:paraId="0DE84911">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 本合同成果的知识产权归甲方所有。经甲方同意乙方有权使用。</w:t>
      </w:r>
    </w:p>
    <w:p w14:paraId="7ACB5CEA">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(二)乙方义务</w:t>
      </w:r>
    </w:p>
    <w:p w14:paraId="135E5F49">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乙方应按相关文件要求投入合格的、充足的人员进行项目工作，提供所承担本合同工作的全部作业环境，包括设备、工具、交通及伙食等。</w:t>
      </w:r>
    </w:p>
    <w:p w14:paraId="1BDFE6E2">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2.乙方委派的项目人员，必须能够适应合同及项目采购需求书规定的工作。</w:t>
      </w:r>
    </w:p>
    <w:p w14:paraId="5E6B5535">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3.在本合同期内，乙方必须在按相关文件承诺投入相关专业人员。</w:t>
      </w:r>
    </w:p>
    <w:p w14:paraId="1B1A0785">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乙方保持人员的稳定，不得随意调换，确有原因乙方调换项目成员，须以书面形式的要求更换不能按照合同规定履行工作的人员，并经甲方同意后方可调换。即使甲方要求或同意更换的人员，其代替人员应具有同等或更高级的资质并得到甲方的认可。由于更换人员引起的费用由乙方承担。</w:t>
      </w:r>
    </w:p>
    <w:p w14:paraId="398D5129">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5.负责收集、整理项目管理所需全部档案、资料，适时提供给甲方。</w:t>
      </w:r>
    </w:p>
    <w:p w14:paraId="3F428C51">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6.与本项目有关的所有上级单位的审计工作，乙方单位必须无条件配合。</w:t>
      </w:r>
    </w:p>
    <w:p w14:paraId="72452B2F">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乙方保证充足的人员完成本合同规定的工作及按时发放相关人员的法定工资和福利待遇，严格落实安全生产相关法律法规要求，包括但不限于要求特种作业人员持证上岗、开展安全生产培训、佩戴个人防护装备、遵循相关安全操作规程等等。同时，乙方必须给本项目的施工人员购买意外险。因履行本合同过程中发生的工伤事故、劳动纠纷、安全事故以及其它可能涉及的法律纠纷（例如森林火灾事故等）均由乙方负责解决、承担全部费用和责任，如给第三人或甲方造成损害的，均由乙方承担赔偿责任。</w:t>
      </w:r>
    </w:p>
    <w:p w14:paraId="5326250F">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8.乙方应按照甲方的整改要求进行整改并及时更换项目人员。</w:t>
      </w:r>
    </w:p>
    <w:p w14:paraId="2366A045">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9.乙方有义务保证项目数据的准确性、有效性、真实性和可追溯。</w:t>
      </w:r>
    </w:p>
    <w:p w14:paraId="67B604D4">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10. 乙方不得向他人转让合同服务内容，也不得将合同服务内容支解后分别向他人转让。</w:t>
      </w:r>
    </w:p>
    <w:p w14:paraId="4A9B87BE">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11、乙方保证合同项下提供的设备不侵犯任何第三方的专利、商标或版权。否则，乙方须承担对第三方的专利或版权的侵权责任并承担因此而发生的所有费用。</w:t>
      </w:r>
    </w:p>
    <w:p w14:paraId="36792E7B">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第八条  甲方违约责任</w:t>
      </w:r>
    </w:p>
    <w:p w14:paraId="5B98815A">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本合同项下甲方要求乙方支付违约金和损失的，有权同时要求乙方支付各种直接和预</w:t>
      </w:r>
    </w:p>
    <w:p w14:paraId="59401082">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期利益的损失的，有权同时要求乙方支付诉讼费、律师费、公证费、公告费、差旅费等实现债权的全部费用。</w:t>
      </w:r>
    </w:p>
    <w:p w14:paraId="72244EC7">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第九条  乙方违约责任</w:t>
      </w:r>
    </w:p>
    <w:p w14:paraId="53C5E879">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1.合同签订后，如乙方无法定或约定理由擅自中途停止或解除合同，乙方</w:t>
      </w:r>
      <w:r>
        <w:rPr>
          <w:rFonts w:hint="eastAsia" w:asciiTheme="minorEastAsia" w:hAnsiTheme="minorEastAsia" w:eastAsiaTheme="minorEastAsia" w:cstheme="minorEastAsia"/>
          <w:color w:val="auto"/>
          <w:sz w:val="21"/>
          <w:szCs w:val="21"/>
          <w:highlight w:val="none"/>
          <w:lang w:val="en-US" w:eastAsia="zh-CN"/>
        </w:rPr>
        <w:t>应退还甲方已支付款项，并</w:t>
      </w:r>
      <w:r>
        <w:rPr>
          <w:rFonts w:hint="eastAsia" w:asciiTheme="minorEastAsia" w:hAnsiTheme="minorEastAsia" w:eastAsiaTheme="minorEastAsia" w:cstheme="minorEastAsia"/>
          <w:color w:val="auto"/>
          <w:sz w:val="21"/>
          <w:szCs w:val="21"/>
          <w:highlight w:val="none"/>
        </w:rPr>
        <w:t>向</w:t>
      </w:r>
      <w:r>
        <w:rPr>
          <w:rFonts w:hint="eastAsia" w:asciiTheme="minorEastAsia" w:hAnsiTheme="minorEastAsia" w:eastAsiaTheme="minorEastAsia" w:cstheme="minorEastAsia"/>
          <w:color w:val="auto"/>
          <w:sz w:val="21"/>
          <w:szCs w:val="21"/>
          <w:highlight w:val="none"/>
          <w:lang w:val="en-US" w:eastAsia="zh-CN"/>
        </w:rPr>
        <w:t>甲</w:t>
      </w:r>
      <w:r>
        <w:rPr>
          <w:rFonts w:hint="eastAsia" w:asciiTheme="minorEastAsia" w:hAnsiTheme="minorEastAsia" w:eastAsiaTheme="minorEastAsia" w:cstheme="minorEastAsia"/>
          <w:color w:val="auto"/>
          <w:sz w:val="21"/>
          <w:szCs w:val="21"/>
          <w:highlight w:val="none"/>
        </w:rPr>
        <w:t>方</w:t>
      </w:r>
      <w:r>
        <w:rPr>
          <w:rFonts w:hint="eastAsia" w:asciiTheme="minorEastAsia" w:hAnsiTheme="minorEastAsia" w:eastAsiaTheme="minorEastAsia" w:cstheme="minorEastAsia"/>
          <w:color w:val="auto"/>
          <w:sz w:val="21"/>
          <w:szCs w:val="21"/>
          <w:highlight w:val="none"/>
          <w:lang w:val="en-US" w:eastAsia="zh-CN"/>
        </w:rPr>
        <w:t>支付</w:t>
      </w:r>
      <w:r>
        <w:rPr>
          <w:rFonts w:hint="eastAsia" w:asciiTheme="minorEastAsia" w:hAnsiTheme="minorEastAsia" w:eastAsiaTheme="minorEastAsia" w:cstheme="minorEastAsia"/>
          <w:color w:val="auto"/>
          <w:sz w:val="21"/>
          <w:szCs w:val="21"/>
          <w:highlight w:val="none"/>
        </w:rPr>
        <w:t>本合同技术服务费金额的</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0%</w:t>
      </w:r>
      <w:r>
        <w:rPr>
          <w:rFonts w:hint="eastAsia" w:asciiTheme="minorEastAsia" w:hAnsiTheme="minorEastAsia" w:eastAsiaTheme="minorEastAsia" w:cstheme="minorEastAsia"/>
          <w:color w:val="auto"/>
          <w:sz w:val="21"/>
          <w:szCs w:val="21"/>
          <w:highlight w:val="none"/>
          <w:lang w:val="en-US" w:eastAsia="zh-CN"/>
        </w:rPr>
        <w:t>作为违约金</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如甲方的实际损失超出违约金数额的，甲方还有权就超出部分损失向乙方主张赔偿责任。</w:t>
      </w:r>
    </w:p>
    <w:p w14:paraId="6559719B">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2.如乙方未按合同要求提交书面反馈成果及交付审查成果的，每逾期1日，应按合同金额3‰的标准向</w:t>
      </w:r>
      <w:r>
        <w:rPr>
          <w:rFonts w:hint="eastAsia" w:asciiTheme="minorEastAsia" w:hAnsiTheme="minorEastAsia" w:eastAsiaTheme="minorEastAsia" w:cstheme="minorEastAsia"/>
          <w:color w:val="auto"/>
          <w:sz w:val="21"/>
          <w:szCs w:val="21"/>
          <w:highlight w:val="none"/>
          <w:lang w:val="en-US" w:eastAsia="zh-CN"/>
        </w:rPr>
        <w:t>甲</w:t>
      </w:r>
      <w:r>
        <w:rPr>
          <w:rFonts w:hint="eastAsia" w:asciiTheme="minorEastAsia" w:hAnsiTheme="minorEastAsia" w:eastAsiaTheme="minorEastAsia" w:cstheme="minorEastAsia"/>
          <w:color w:val="auto"/>
          <w:sz w:val="21"/>
          <w:szCs w:val="21"/>
          <w:highlight w:val="none"/>
        </w:rPr>
        <w:t>方支付违约金。</w:t>
      </w:r>
      <w:r>
        <w:rPr>
          <w:rFonts w:hint="eastAsia" w:asciiTheme="minorEastAsia" w:hAnsiTheme="minorEastAsia" w:eastAsiaTheme="minorEastAsia" w:cstheme="minorEastAsia"/>
          <w:color w:val="auto"/>
          <w:sz w:val="21"/>
          <w:szCs w:val="21"/>
          <w:highlight w:val="none"/>
          <w:lang w:val="en-US" w:eastAsia="zh-CN"/>
        </w:rPr>
        <w:t>逾期超过15天的，甲方有权单方解除本合同并要求乙方按</w:t>
      </w:r>
      <w:r>
        <w:rPr>
          <w:rFonts w:hint="eastAsia" w:asciiTheme="minorEastAsia" w:hAnsiTheme="minorEastAsia" w:eastAsiaTheme="minorEastAsia" w:cstheme="minorEastAsia"/>
          <w:color w:val="auto"/>
          <w:sz w:val="21"/>
          <w:szCs w:val="21"/>
          <w:highlight w:val="none"/>
        </w:rPr>
        <w:t>本合同技术服务费金额的</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0%</w:t>
      </w:r>
      <w:r>
        <w:rPr>
          <w:rFonts w:hint="eastAsia" w:asciiTheme="minorEastAsia" w:hAnsiTheme="minorEastAsia" w:eastAsiaTheme="minorEastAsia" w:cstheme="minorEastAsia"/>
          <w:color w:val="auto"/>
          <w:sz w:val="21"/>
          <w:szCs w:val="21"/>
          <w:highlight w:val="none"/>
          <w:lang w:val="en-US" w:eastAsia="zh-CN"/>
        </w:rPr>
        <w:t>支付违约金，如甲方的实际损失超出违约金数额的，甲方还有权就超出部分损失向乙方主张赔偿责任。</w:t>
      </w:r>
      <w:r>
        <w:rPr>
          <w:rFonts w:hint="eastAsia" w:asciiTheme="minorEastAsia" w:hAnsiTheme="minorEastAsia" w:eastAsiaTheme="minorEastAsia" w:cstheme="minorEastAsia"/>
          <w:color w:val="auto"/>
          <w:sz w:val="21"/>
          <w:szCs w:val="21"/>
          <w:highlight w:val="none"/>
        </w:rPr>
        <w:t>但因不可抗力或甲方原因造成的工程拖期，乙方不承担赔偿责任。</w:t>
      </w:r>
    </w:p>
    <w:p w14:paraId="0C1028BF">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3.如因乙方的技术原因导致乙方提供审查成果不满足本合同约定的，乙方应负责无偿给予采取补救措施，以达到本合同约定的要求。</w:t>
      </w:r>
    </w:p>
    <w:p w14:paraId="3169C445">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4.对于甲方提供的技术资料以及属于甲方</w:t>
      </w:r>
      <w:r>
        <w:rPr>
          <w:rFonts w:hint="eastAsia" w:asciiTheme="minorEastAsia" w:hAnsiTheme="minorEastAsia" w:eastAsiaTheme="minorEastAsia" w:cstheme="minorEastAsia"/>
          <w:color w:val="auto"/>
          <w:sz w:val="21"/>
          <w:szCs w:val="21"/>
          <w:highlight w:val="none"/>
          <w:lang w:val="en-US" w:eastAsia="zh-CN"/>
        </w:rPr>
        <w:t>所</w:t>
      </w:r>
      <w:r>
        <w:rPr>
          <w:rFonts w:hint="eastAsia" w:asciiTheme="minorEastAsia" w:hAnsiTheme="minorEastAsia" w:eastAsiaTheme="minorEastAsia" w:cstheme="minorEastAsia"/>
          <w:color w:val="auto"/>
          <w:sz w:val="21"/>
          <w:szCs w:val="21"/>
          <w:highlight w:val="none"/>
        </w:rPr>
        <w:t>有的成果，乙方有保密义务，保密期限为永久，</w:t>
      </w:r>
      <w:r>
        <w:rPr>
          <w:rFonts w:hint="eastAsia" w:asciiTheme="minorEastAsia" w:hAnsiTheme="minorEastAsia" w:eastAsiaTheme="minorEastAsia" w:cstheme="minorEastAsia"/>
          <w:color w:val="auto"/>
          <w:sz w:val="21"/>
          <w:szCs w:val="21"/>
          <w:highlight w:val="none"/>
          <w:lang w:val="en-US" w:eastAsia="zh-CN"/>
        </w:rPr>
        <w:t>不因本合同的解除或终止而失效，乙方</w:t>
      </w:r>
      <w:r>
        <w:rPr>
          <w:rFonts w:hint="eastAsia" w:asciiTheme="minorEastAsia" w:hAnsiTheme="minorEastAsia" w:eastAsiaTheme="minorEastAsia" w:cstheme="minorEastAsia"/>
          <w:color w:val="auto"/>
          <w:sz w:val="21"/>
          <w:szCs w:val="21"/>
          <w:highlight w:val="none"/>
        </w:rPr>
        <w:t>不得向本合同以外的其他人转让或披露，否则，乙方向甲方按本合同金额的</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0%</w:t>
      </w:r>
      <w:r>
        <w:rPr>
          <w:rFonts w:hint="eastAsia" w:asciiTheme="minorEastAsia" w:hAnsiTheme="minorEastAsia" w:eastAsiaTheme="minorEastAsia" w:cstheme="minorEastAsia"/>
          <w:color w:val="auto"/>
          <w:sz w:val="21"/>
          <w:szCs w:val="21"/>
          <w:highlight w:val="none"/>
          <w:lang w:val="en-US" w:eastAsia="zh-CN"/>
        </w:rPr>
        <w:t>支付违约金，如甲方的实际损失超出违约金数额的，甲方还有权就超出部分损失向乙方主张赔偿责任。</w:t>
      </w:r>
    </w:p>
    <w:p w14:paraId="6865A295">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5、如乙方违约的，甲方除有权要求乙方承担违约责任外，还有权要求乙方支付维权成本，包括但不限于诉讼/仲裁费、调查取证费/公证费/鉴定费、律师费、保全费、担保费、差旅费等维权费用及其他合理费用。</w:t>
      </w:r>
    </w:p>
    <w:p w14:paraId="2EABABF4">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6、因乙方原因所产生的违约金、赔偿或其他应付费用，甲方有权从乙方提供的履约担保金额或甲方应支付的合同价款中直接扣除。</w:t>
      </w:r>
    </w:p>
    <w:p w14:paraId="678A2607">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第十条  知识产权</w:t>
      </w:r>
    </w:p>
    <w:p w14:paraId="069DCDFF">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1、</w:t>
      </w:r>
      <w:r>
        <w:rPr>
          <w:rFonts w:hint="eastAsia" w:asciiTheme="minorEastAsia" w:hAnsiTheme="minorEastAsia" w:eastAsiaTheme="minorEastAsia" w:cstheme="minorEastAsia"/>
          <w:color w:val="auto"/>
          <w:sz w:val="21"/>
          <w:szCs w:val="21"/>
          <w:highlight w:val="none"/>
        </w:rPr>
        <w:t>甲方提交给乙方使用的素材与资料，其知识产权仍归甲方所有。除为本合同目的而使用之外，乙方不得复制、使用及提供给第三方。</w:t>
      </w:r>
    </w:p>
    <w:p w14:paraId="7F405422">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2、</w:t>
      </w:r>
      <w:r>
        <w:rPr>
          <w:rFonts w:hint="eastAsia" w:asciiTheme="minorEastAsia" w:hAnsiTheme="minorEastAsia" w:eastAsiaTheme="minorEastAsia" w:cstheme="minorEastAsia"/>
          <w:color w:val="auto"/>
          <w:sz w:val="21"/>
          <w:szCs w:val="21"/>
          <w:highlight w:val="none"/>
        </w:rPr>
        <w:t>乙方向甲方提交的工作成果的全部知识产权均归甲方所有；甲方有权自行决定发表、修改、使用等，相关收益归甲方所有。</w:t>
      </w:r>
    </w:p>
    <w:p w14:paraId="1E5EE669">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3、</w:t>
      </w:r>
      <w:r>
        <w:rPr>
          <w:rFonts w:hint="eastAsia" w:asciiTheme="minorEastAsia" w:hAnsiTheme="minorEastAsia" w:eastAsiaTheme="minorEastAsia" w:cstheme="minorEastAsia"/>
          <w:color w:val="auto"/>
          <w:sz w:val="21"/>
          <w:szCs w:val="21"/>
          <w:highlight w:val="none"/>
        </w:rPr>
        <w:t>乙方保证向甲方交付的工作成果（包括但不限于工作成果所使用的素材）不侵犯第三方的知识产权等权利，保证甲方在使用该工作成果时免受第三方提出侵犯其任何专利权、著作权、商标权、商业秘密或其他知识产权的起诉及索赔。</w:t>
      </w:r>
    </w:p>
    <w:p w14:paraId="76F96A2A">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4、</w:t>
      </w:r>
      <w:r>
        <w:rPr>
          <w:rFonts w:hint="eastAsia" w:asciiTheme="minorEastAsia" w:hAnsiTheme="minorEastAsia" w:eastAsiaTheme="minorEastAsia" w:cstheme="minorEastAsia"/>
          <w:color w:val="auto"/>
          <w:sz w:val="21"/>
          <w:szCs w:val="21"/>
          <w:highlight w:val="none"/>
        </w:rPr>
        <w:t>对任何因乙方交付的工作成果侵犯第三方专利权、著作权、商标权、商业秘密或其他知识产权导致第三方向甲方主张权利的，甲方应及时通知乙方，乙方将自费就上述权利主张为甲方辩护，并承担因此导致的一切法律责任，包括但不限于法院最终判决的或和解达成的一切费用（包括但不限于损害赔偿金和律师费等费用）。若甲方受到此类索赔或起诉，并因此造成甲方的一切损失由乙方承担，甲方有权解除合同，同时乙方应向甲方支付合同总价10%的违约金。前述违约金不足以弥补甲方损失的，甲方有权继续追偿。</w:t>
      </w:r>
    </w:p>
    <w:p w14:paraId="163B0207">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第十一条  不可抗力</w:t>
      </w:r>
    </w:p>
    <w:p w14:paraId="47E4FFED">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b w:val="0"/>
          <w:bCs w:val="0"/>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val="en-US" w:eastAsia="zh-Hans"/>
        </w:rPr>
        <w:t>不可抗力的确认</w:t>
      </w:r>
    </w:p>
    <w:p w14:paraId="0119F016">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不可抗力是指甲乙双方在订立合同时不可预见，在履行合同过程中不可避免发生并不能克服的自然灾害、政策的调整和社会性突发事件，如地震、海啸、瘟疫、水灾、骚乱、暴动、战争等。</w:t>
      </w:r>
    </w:p>
    <w:p w14:paraId="5C3C4044">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b w:val="0"/>
          <w:bCs w:val="0"/>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val="en-US" w:eastAsia="zh-Hans"/>
        </w:rPr>
        <w:t>不可抗力的通知</w:t>
      </w:r>
    </w:p>
    <w:p w14:paraId="71BEEAAB">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合同一方当事人遇到不可抗力事件，使其履行合同义务受到阻碍时，应立即通知合同另一方当事人，书面说明不可抗力和受阻碍的详细情况，并提供必要的证明。</w:t>
      </w:r>
    </w:p>
    <w:p w14:paraId="36E9F062">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b w:val="0"/>
          <w:bCs w:val="0"/>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val="en-US" w:eastAsia="zh-Hans"/>
        </w:rPr>
        <w:t>不可抗力后果及其处理</w:t>
      </w:r>
    </w:p>
    <w:p w14:paraId="1087C2AE">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（1）合同一方延迟履行，在延迟履行期间发生不可抗力的，不免除其责任。</w:t>
      </w:r>
    </w:p>
    <w:p w14:paraId="0C17B30D">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（2）不可抗力发生后，合同双方均应采取措施尽量避免和减少损失的扩大，任何一方没有采取有效措施导致损失扩大的，应对扩大的损失承担责任。</w:t>
      </w:r>
    </w:p>
    <w:p w14:paraId="49BC9369">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Hans"/>
        </w:rPr>
        <w:t>（3）合同一方因不可抗力不能履行合同的，应当及时通知对方解除合同。双方根据乙方实际完成工作量据实结算合同费用。</w:t>
      </w:r>
    </w:p>
    <w:p w14:paraId="3BE2214A">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第十二条  争端的解决</w:t>
      </w:r>
    </w:p>
    <w:p w14:paraId="40608797">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本合同发生争议，双方当事人应及时协商解决；经双方协商无法解决的争议，双方同意按照以下第</w:t>
      </w:r>
      <w:r>
        <w:rPr>
          <w:rFonts w:hint="eastAsia" w:asciiTheme="minorEastAsia" w:hAnsiTheme="minorEastAsia" w:eastAsiaTheme="minorEastAsia" w:cstheme="minorEastAsia"/>
          <w:color w:val="auto"/>
          <w:sz w:val="21"/>
          <w:szCs w:val="21"/>
          <w:highlight w:val="none"/>
          <w:u w:val="none"/>
          <w:lang w:val="en-US" w:eastAsia="zh-CN"/>
        </w:rPr>
        <w:t>（1）</w:t>
      </w:r>
      <w:r>
        <w:rPr>
          <w:rFonts w:hint="eastAsia" w:asciiTheme="minorEastAsia" w:hAnsiTheme="minorEastAsia" w:eastAsiaTheme="minorEastAsia" w:cstheme="minorEastAsia"/>
          <w:color w:val="auto"/>
          <w:sz w:val="21"/>
          <w:szCs w:val="21"/>
          <w:highlight w:val="none"/>
          <w:u w:val="none"/>
          <w:lang w:val="en-US" w:eastAsia="zh-Hans"/>
        </w:rPr>
        <w:t>种</w:t>
      </w:r>
      <w:r>
        <w:rPr>
          <w:rFonts w:hint="eastAsia" w:asciiTheme="minorEastAsia" w:hAnsiTheme="minorEastAsia" w:eastAsiaTheme="minorEastAsia" w:cstheme="minorEastAsia"/>
          <w:color w:val="auto"/>
          <w:sz w:val="21"/>
          <w:szCs w:val="21"/>
          <w:highlight w:val="none"/>
          <w:lang w:val="en-US" w:eastAsia="zh-Hans"/>
        </w:rPr>
        <w:t>方式解决：</w:t>
      </w:r>
    </w:p>
    <w:p w14:paraId="79C463EF">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（1）凡因本合同引起的或与本合同有关的任何争议，均提交项目所在地有管辖权的人民法院裁决。</w:t>
      </w:r>
    </w:p>
    <w:p w14:paraId="07274C60">
      <w:pPr>
        <w:numPr>
          <w:ilvl w:val="255"/>
          <w:numId w:val="0"/>
        </w:numPr>
        <w:spacing w:line="360" w:lineRule="auto"/>
        <w:ind w:firstLine="420" w:firstLineChars="200"/>
        <w:rPr>
          <w:rFonts w:hint="eastAsia" w:asciiTheme="minorEastAsia" w:hAnsiTheme="minorEastAsia" w:eastAsiaTheme="minorEastAsia" w:cstheme="minorEastAsia"/>
          <w:b w:val="0"/>
          <w:bCs w:val="0"/>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（2）凡因本合同引起的或与本合同有关的任何争议，双方同意提交【东莞】仲裁委员会进行仲裁。仲裁裁决是终局的，对双方均有约束力。</w:t>
      </w:r>
    </w:p>
    <w:p w14:paraId="613C4E3A">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Hans" w:bidi="ar-SA"/>
        </w:rPr>
      </w:pPr>
      <w:r>
        <w:rPr>
          <w:rFonts w:hint="eastAsia" w:asciiTheme="minorEastAsia" w:hAnsiTheme="minorEastAsia" w:eastAsiaTheme="minorEastAsia" w:cstheme="minorEastAsia"/>
          <w:b/>
          <w:bCs/>
          <w:color w:val="auto"/>
          <w:kern w:val="2"/>
          <w:sz w:val="21"/>
          <w:szCs w:val="21"/>
          <w:highlight w:val="none"/>
          <w:lang w:val="en-US" w:eastAsia="zh-Hans" w:bidi="ar-SA"/>
        </w:rPr>
        <w:t>第十</w:t>
      </w:r>
      <w:r>
        <w:rPr>
          <w:rFonts w:hint="eastAsia" w:asciiTheme="minorEastAsia" w:hAnsiTheme="minorEastAsia" w:eastAsiaTheme="minorEastAsia" w:cstheme="minorEastAsia"/>
          <w:b/>
          <w:bCs/>
          <w:color w:val="auto"/>
          <w:kern w:val="2"/>
          <w:sz w:val="21"/>
          <w:szCs w:val="21"/>
          <w:highlight w:val="none"/>
          <w:lang w:val="en-US" w:eastAsia="zh-CN" w:bidi="ar-SA"/>
        </w:rPr>
        <w:t>三</w:t>
      </w:r>
      <w:r>
        <w:rPr>
          <w:rFonts w:hint="eastAsia" w:asciiTheme="minorEastAsia" w:hAnsiTheme="minorEastAsia" w:eastAsiaTheme="minorEastAsia" w:cstheme="minorEastAsia"/>
          <w:b/>
          <w:bCs/>
          <w:color w:val="auto"/>
          <w:kern w:val="2"/>
          <w:sz w:val="21"/>
          <w:szCs w:val="21"/>
          <w:highlight w:val="none"/>
          <w:lang w:val="en-US" w:eastAsia="zh-Hans" w:bidi="ar-SA"/>
        </w:rPr>
        <w:t>条 通知</w:t>
      </w:r>
    </w:p>
    <w:p w14:paraId="2A9C5C32">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双方各自指定履行本合同的联系人，一方资料、文件之交接及意见之传达、接收均通过联系人进行。</w:t>
      </w:r>
    </w:p>
    <w:p w14:paraId="77C2DABE">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 xml:space="preserve">甲方指定联系人：                                                           </w:t>
      </w:r>
    </w:p>
    <w:p w14:paraId="4BD2F136">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姓    名：____________________</w:t>
      </w:r>
    </w:p>
    <w:p w14:paraId="5DE8DE75">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联系电话：____________________</w:t>
      </w:r>
    </w:p>
    <w:p w14:paraId="125746B4">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电子邮箱：____________________</w:t>
      </w:r>
    </w:p>
    <w:p w14:paraId="355B42D1">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 xml:space="preserve">通讯地址：____________________ </w:t>
      </w:r>
    </w:p>
    <w:p w14:paraId="4B58F50F">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CN"/>
        </w:rPr>
        <w:t>甲方单位咨询电话：</w:t>
      </w:r>
      <w:r>
        <w:rPr>
          <w:rFonts w:hint="eastAsia" w:asciiTheme="minorEastAsia" w:hAnsiTheme="minorEastAsia" w:eastAsiaTheme="minorEastAsia" w:cstheme="minorEastAsia"/>
          <w:color w:val="auto"/>
          <w:sz w:val="21"/>
          <w:szCs w:val="21"/>
          <w:highlight w:val="none"/>
          <w:lang w:val="en-US" w:eastAsia="zh-Hans"/>
        </w:rPr>
        <w:t xml:space="preserve">____________________ </w:t>
      </w:r>
    </w:p>
    <w:p w14:paraId="09F77F0B">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 xml:space="preserve">乙方指定联系人：____________________                                               </w:t>
      </w:r>
    </w:p>
    <w:p w14:paraId="31688B3A">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Hans"/>
        </w:rPr>
        <w:t>姓    名：_______________</w:t>
      </w:r>
      <w:r>
        <w:rPr>
          <w:rFonts w:hint="eastAsia" w:asciiTheme="minorEastAsia" w:hAnsiTheme="minorEastAsia" w:eastAsiaTheme="minorEastAsia" w:cstheme="minorEastAsia"/>
          <w:color w:val="auto"/>
          <w:sz w:val="21"/>
          <w:szCs w:val="21"/>
          <w:highlight w:val="none"/>
          <w:lang w:val="en-US" w:eastAsia="zh-CN"/>
        </w:rPr>
        <w:t>_____</w:t>
      </w:r>
    </w:p>
    <w:p w14:paraId="2923012A">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联系电话：____________________</w:t>
      </w:r>
    </w:p>
    <w:p w14:paraId="75D5B150">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电子邮箱：____________________</w:t>
      </w:r>
    </w:p>
    <w:p w14:paraId="085FBD0F">
      <w:pPr>
        <w:numPr>
          <w:ilvl w:val="255"/>
          <w:numId w:val="0"/>
        </w:numPr>
        <w:spacing w:line="360" w:lineRule="auto"/>
        <w:ind w:firstLine="420" w:firstLineChars="200"/>
        <w:rPr>
          <w:rFonts w:hint="eastAsia" w:asciiTheme="minorEastAsia" w:hAnsiTheme="minorEastAsia" w:eastAsiaTheme="minorEastAsia" w:cstheme="minorEastAsia"/>
          <w:b w:val="0"/>
          <w:bCs w:val="0"/>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通讯地址：_____________________</w:t>
      </w:r>
    </w:p>
    <w:p w14:paraId="0B894BCB">
      <w:pPr>
        <w:numPr>
          <w:ilvl w:val="255"/>
          <w:numId w:val="0"/>
        </w:numPr>
        <w:spacing w:line="360" w:lineRule="auto"/>
        <w:ind w:firstLine="0" w:firstLineChars="0"/>
        <w:rPr>
          <w:rFonts w:hint="eastAsia" w:asciiTheme="minorEastAsia" w:hAnsiTheme="minorEastAsia" w:eastAsiaTheme="minorEastAsia" w:cstheme="minorEastAsia"/>
          <w:b/>
          <w:bCs/>
          <w:color w:val="auto"/>
          <w:sz w:val="21"/>
          <w:szCs w:val="21"/>
          <w:highlight w:val="none"/>
          <w:lang w:val="en-US" w:eastAsia="zh-Hans"/>
        </w:rPr>
      </w:pPr>
      <w:r>
        <w:rPr>
          <w:rFonts w:hint="eastAsia" w:asciiTheme="minorEastAsia" w:hAnsiTheme="minorEastAsia" w:eastAsiaTheme="minorEastAsia" w:cstheme="minorEastAsia"/>
          <w:b/>
          <w:bCs/>
          <w:color w:val="auto"/>
          <w:sz w:val="21"/>
          <w:szCs w:val="21"/>
          <w:highlight w:val="none"/>
          <w:lang w:val="en-US" w:eastAsia="zh-Hans"/>
        </w:rPr>
        <w:t>第</w:t>
      </w:r>
      <w:r>
        <w:rPr>
          <w:rFonts w:hint="eastAsia" w:asciiTheme="minorEastAsia" w:hAnsiTheme="minorEastAsia" w:eastAsiaTheme="minorEastAsia" w:cstheme="minorEastAsia"/>
          <w:b/>
          <w:bCs/>
          <w:color w:val="auto"/>
          <w:sz w:val="21"/>
          <w:szCs w:val="21"/>
          <w:highlight w:val="none"/>
          <w:lang w:val="en-US" w:eastAsia="zh-CN"/>
        </w:rPr>
        <w:t>十四</w:t>
      </w:r>
      <w:r>
        <w:rPr>
          <w:rFonts w:hint="eastAsia" w:asciiTheme="minorEastAsia" w:hAnsiTheme="minorEastAsia" w:eastAsiaTheme="minorEastAsia" w:cstheme="minorEastAsia"/>
          <w:b/>
          <w:bCs/>
          <w:color w:val="auto"/>
          <w:sz w:val="21"/>
          <w:szCs w:val="21"/>
          <w:highlight w:val="none"/>
          <w:lang w:val="en-US" w:eastAsia="zh-Hans"/>
        </w:rPr>
        <w:t>条 其他</w:t>
      </w:r>
    </w:p>
    <w:p w14:paraId="3E7C1959">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val="en-US" w:eastAsia="zh-Hans"/>
        </w:rPr>
        <w:t xml:space="preserve"> 本合同正文与下列附件共同构成本合同双方协商达成一致的全部内容：</w:t>
      </w:r>
    </w:p>
    <w:p w14:paraId="7B949FBE">
      <w:pPr>
        <w:numPr>
          <w:ilvl w:val="255"/>
          <w:numId w:val="0"/>
        </w:numPr>
        <w:spacing w:line="360" w:lineRule="auto"/>
        <w:ind w:firstLine="420" w:firstLineChars="200"/>
        <w:jc w:val="left"/>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附件1</w:t>
      </w:r>
      <w:r>
        <w:rPr>
          <w:rFonts w:hint="eastAsia" w:asciiTheme="minorEastAsia" w:hAnsiTheme="minorEastAsia" w:eastAsiaTheme="minorEastAsia" w:cstheme="minorEastAsia"/>
          <w:color w:val="auto"/>
          <w:sz w:val="21"/>
          <w:szCs w:val="21"/>
          <w:highlight w:val="none"/>
          <w:lang w:val="en-US" w:eastAsia="zh-CN"/>
        </w:rPr>
        <w:t>：阳光合作协议</w:t>
      </w:r>
    </w:p>
    <w:p w14:paraId="62025529">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附件2：</w:t>
      </w:r>
      <w:r>
        <w:rPr>
          <w:rFonts w:hint="eastAsia" w:asciiTheme="minorEastAsia" w:hAnsiTheme="minorEastAsia" w:eastAsiaTheme="minorEastAsia" w:cstheme="minorEastAsia"/>
          <w:color w:val="auto"/>
          <w:sz w:val="21"/>
          <w:szCs w:val="21"/>
          <w:highlight w:val="none"/>
        </w:rPr>
        <w:t>中标通知书</w:t>
      </w:r>
    </w:p>
    <w:p w14:paraId="3DC83CC6">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附件</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：响应文件</w:t>
      </w:r>
    </w:p>
    <w:p w14:paraId="4D864981">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附件</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：采购文件</w:t>
      </w:r>
    </w:p>
    <w:p w14:paraId="541E1051">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附件5：履约担保证明</w:t>
      </w:r>
    </w:p>
    <w:p w14:paraId="71107090">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附件6：最终报价表</w:t>
      </w:r>
    </w:p>
    <w:p w14:paraId="63554B1D">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val="en-US" w:eastAsia="zh-Hans"/>
        </w:rPr>
        <w:t xml:space="preserve"> 本合同未尽事宜，经双方平等友好协商一致，可签订补充协议。</w:t>
      </w:r>
    </w:p>
    <w:p w14:paraId="66343FCC">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val="en-US" w:eastAsia="zh-Hans"/>
        </w:rPr>
        <w:t>本合同自双方有权代表签字、单位盖章后生效。</w:t>
      </w:r>
    </w:p>
    <w:p w14:paraId="71228F53">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lang w:val="en-US" w:eastAsia="zh-Hans"/>
        </w:rPr>
        <w:t>本合同一式【</w:t>
      </w:r>
      <w:r>
        <w:rPr>
          <w:rFonts w:hint="eastAsia" w:asciiTheme="minorEastAsia" w:hAnsiTheme="minorEastAsia" w:eastAsiaTheme="minorEastAsia" w:cstheme="minorEastAsia"/>
          <w:color w:val="auto"/>
          <w:sz w:val="21"/>
          <w:szCs w:val="21"/>
          <w:highlight w:val="none"/>
          <w:lang w:val="en-US" w:eastAsia="zh-CN"/>
        </w:rPr>
        <w:t xml:space="preserve"> 肆 </w:t>
      </w:r>
      <w:r>
        <w:rPr>
          <w:rFonts w:hint="eastAsia" w:asciiTheme="minorEastAsia" w:hAnsiTheme="minorEastAsia" w:eastAsiaTheme="minorEastAsia" w:cstheme="minorEastAsia"/>
          <w:color w:val="auto"/>
          <w:sz w:val="21"/>
          <w:szCs w:val="21"/>
          <w:highlight w:val="none"/>
          <w:lang w:val="en-US" w:eastAsia="zh-Hans"/>
        </w:rPr>
        <w:t>】份，甲方执【</w:t>
      </w:r>
      <w:r>
        <w:rPr>
          <w:rFonts w:hint="eastAsia" w:asciiTheme="minorEastAsia" w:hAnsiTheme="minorEastAsia" w:eastAsiaTheme="minorEastAsia" w:cstheme="minorEastAsia"/>
          <w:color w:val="auto"/>
          <w:sz w:val="21"/>
          <w:szCs w:val="21"/>
          <w:highlight w:val="none"/>
          <w:lang w:val="en-US" w:eastAsia="zh-CN"/>
        </w:rPr>
        <w:t xml:space="preserve"> 贰 </w:t>
      </w:r>
      <w:r>
        <w:rPr>
          <w:rFonts w:hint="eastAsia" w:asciiTheme="minorEastAsia" w:hAnsiTheme="minorEastAsia" w:eastAsiaTheme="minorEastAsia" w:cstheme="minorEastAsia"/>
          <w:color w:val="auto"/>
          <w:sz w:val="21"/>
          <w:szCs w:val="21"/>
          <w:highlight w:val="none"/>
          <w:lang w:val="en-US" w:eastAsia="zh-Hans"/>
        </w:rPr>
        <w:t xml:space="preserve">】份，乙方执【 </w:t>
      </w:r>
      <w:r>
        <w:rPr>
          <w:rFonts w:hint="eastAsia" w:asciiTheme="minorEastAsia" w:hAnsiTheme="minorEastAsia" w:eastAsiaTheme="minorEastAsia" w:cstheme="minorEastAsia"/>
          <w:color w:val="auto"/>
          <w:sz w:val="21"/>
          <w:szCs w:val="21"/>
          <w:highlight w:val="none"/>
          <w:lang w:val="en-US" w:eastAsia="zh-CN"/>
        </w:rPr>
        <w:t>贰</w:t>
      </w:r>
      <w:r>
        <w:rPr>
          <w:rFonts w:hint="eastAsia" w:asciiTheme="minorEastAsia" w:hAnsiTheme="minorEastAsia" w:eastAsiaTheme="minorEastAsia" w:cstheme="minorEastAsia"/>
          <w:color w:val="auto"/>
          <w:sz w:val="21"/>
          <w:szCs w:val="21"/>
          <w:highlight w:val="none"/>
          <w:lang w:val="en-US" w:eastAsia="zh-Hans"/>
        </w:rPr>
        <w:t xml:space="preserve">  】份，各份具有同等法律效力。</w:t>
      </w:r>
    </w:p>
    <w:p w14:paraId="5452946E">
      <w:pPr>
        <w:spacing w:line="360" w:lineRule="auto"/>
        <w:ind w:firstLine="0" w:firstLineChars="0"/>
        <w:jc w:val="left"/>
        <w:rPr>
          <w:rFonts w:hint="eastAsia" w:asciiTheme="minorEastAsia" w:hAnsiTheme="minorEastAsia" w:eastAsiaTheme="minorEastAsia" w:cstheme="minorEastAsia"/>
          <w:color w:val="auto"/>
          <w:sz w:val="21"/>
          <w:szCs w:val="21"/>
          <w:highlight w:val="none"/>
        </w:rPr>
      </w:pPr>
    </w:p>
    <w:p w14:paraId="76D7F2E3">
      <w:pPr>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（以下无正文，为签章内容）</w:t>
      </w:r>
    </w:p>
    <w:tbl>
      <w:tblPr>
        <w:tblStyle w:val="38"/>
        <w:tblpPr w:leftFromText="180" w:rightFromText="180" w:vertAnchor="text" w:horzAnchor="page" w:tblpX="1740" w:tblpY="119"/>
        <w:tblW w:w="8522" w:type="dxa"/>
        <w:tblInd w:w="0" w:type="dxa"/>
        <w:tblLayout w:type="fixed"/>
        <w:tblCellMar>
          <w:top w:w="0" w:type="dxa"/>
          <w:left w:w="108" w:type="dxa"/>
          <w:bottom w:w="0" w:type="dxa"/>
          <w:right w:w="108" w:type="dxa"/>
        </w:tblCellMar>
      </w:tblPr>
      <w:tblGrid>
        <w:gridCol w:w="4326"/>
        <w:gridCol w:w="4196"/>
      </w:tblGrid>
      <w:tr w14:paraId="7E5561B8">
        <w:tblPrEx>
          <w:tblCellMar>
            <w:top w:w="0" w:type="dxa"/>
            <w:left w:w="108" w:type="dxa"/>
            <w:bottom w:w="0" w:type="dxa"/>
            <w:right w:w="108" w:type="dxa"/>
          </w:tblCellMar>
        </w:tblPrEx>
        <w:trPr>
          <w:trHeight w:val="2208" w:hRule="atLeast"/>
        </w:trPr>
        <w:tc>
          <w:tcPr>
            <w:tcW w:w="4326" w:type="dxa"/>
            <w:noWrap w:val="0"/>
            <w:vAlign w:val="top"/>
          </w:tcPr>
          <w:p w14:paraId="2992028F">
            <w:pPr>
              <w:pStyle w:val="112"/>
              <w:spacing w:after="50" w:line="360" w:lineRule="auto"/>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甲方：（公章）</w:t>
            </w:r>
          </w:p>
          <w:p w14:paraId="0A619F55">
            <w:pPr>
              <w:pStyle w:val="112"/>
              <w:spacing w:after="50" w:line="360" w:lineRule="auto"/>
              <w:rPr>
                <w:rFonts w:hint="eastAsia" w:ascii="宋体" w:hAnsi="宋体" w:eastAsia="宋体" w:cs="宋体"/>
                <w:color w:val="auto"/>
                <w:sz w:val="21"/>
                <w:szCs w:val="21"/>
                <w:highlight w:val="none"/>
                <w:u w:val="none"/>
              </w:rPr>
            </w:pPr>
            <w:r>
              <w:rPr>
                <w:rFonts w:hint="eastAsia" w:asciiTheme="minorEastAsia" w:hAnsiTheme="minorEastAsia" w:eastAsiaTheme="minorEastAsia" w:cstheme="minorEastAsia"/>
                <w:color w:val="auto"/>
                <w:sz w:val="21"/>
                <w:szCs w:val="21"/>
                <w:highlight w:val="none"/>
                <w:u w:val="single"/>
                <w:lang w:val="en-US" w:eastAsia="zh-CN"/>
              </w:rPr>
              <w:t>广东新网工程技术有限公司</w:t>
            </w:r>
          </w:p>
        </w:tc>
        <w:tc>
          <w:tcPr>
            <w:tcW w:w="4196" w:type="dxa"/>
            <w:noWrap w:val="0"/>
            <w:vAlign w:val="top"/>
          </w:tcPr>
          <w:p w14:paraId="7D694686">
            <w:pPr>
              <w:pStyle w:val="112"/>
              <w:spacing w:after="50" w:line="360" w:lineRule="auto"/>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乙方：（公章）</w:t>
            </w:r>
          </w:p>
          <w:p w14:paraId="47A8C010">
            <w:pPr>
              <w:pStyle w:val="112"/>
              <w:spacing w:after="50" w:line="360" w:lineRule="auto"/>
              <w:rPr>
                <w:rFonts w:hint="default" w:ascii="宋体" w:hAnsi="宋体" w:eastAsia="宋体" w:cs="宋体"/>
                <w:color w:val="auto"/>
                <w:sz w:val="21"/>
                <w:szCs w:val="21"/>
                <w:highlight w:val="none"/>
                <w:u w:val="none"/>
                <w:lang w:val="en-US" w:eastAsia="zh-CN"/>
              </w:rPr>
            </w:pPr>
            <w:r>
              <w:rPr>
                <w:rFonts w:hint="eastAsia" w:hAnsi="宋体" w:cs="宋体"/>
                <w:color w:val="auto"/>
                <w:sz w:val="21"/>
                <w:szCs w:val="21"/>
                <w:highlight w:val="none"/>
                <w:u w:val="none"/>
                <w:lang w:val="en-US" w:eastAsia="zh-CN"/>
              </w:rPr>
              <w:t xml:space="preserve">                              </w:t>
            </w:r>
          </w:p>
        </w:tc>
      </w:tr>
      <w:tr w14:paraId="01CBCAFB">
        <w:tblPrEx>
          <w:tblCellMar>
            <w:top w:w="0" w:type="dxa"/>
            <w:left w:w="108" w:type="dxa"/>
            <w:bottom w:w="0" w:type="dxa"/>
            <w:right w:w="108" w:type="dxa"/>
          </w:tblCellMar>
        </w:tblPrEx>
        <w:trPr>
          <w:trHeight w:val="1580" w:hRule="atLeast"/>
        </w:trPr>
        <w:tc>
          <w:tcPr>
            <w:tcW w:w="4326" w:type="dxa"/>
            <w:noWrap w:val="0"/>
            <w:vAlign w:val="top"/>
          </w:tcPr>
          <w:p w14:paraId="4B60B499">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法定代表人（或授权代表）：（签字）</w:t>
            </w:r>
          </w:p>
          <w:p w14:paraId="03E11473">
            <w:pPr>
              <w:pStyle w:val="112"/>
              <w:spacing w:after="50" w:line="360" w:lineRule="auto"/>
              <w:rPr>
                <w:rFonts w:hint="eastAsia" w:ascii="宋体" w:hAnsi="宋体" w:eastAsia="宋体" w:cs="宋体"/>
                <w:color w:val="auto"/>
                <w:sz w:val="21"/>
                <w:szCs w:val="21"/>
                <w:highlight w:val="none"/>
              </w:rPr>
            </w:pPr>
          </w:p>
        </w:tc>
        <w:tc>
          <w:tcPr>
            <w:tcW w:w="4196" w:type="dxa"/>
            <w:noWrap w:val="0"/>
            <w:vAlign w:val="top"/>
          </w:tcPr>
          <w:p w14:paraId="3615E67D">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法定代表人（或授权代表）：（签字）</w:t>
            </w:r>
          </w:p>
          <w:p w14:paraId="56B02D11">
            <w:pPr>
              <w:pStyle w:val="112"/>
              <w:spacing w:after="50" w:line="360" w:lineRule="auto"/>
              <w:rPr>
                <w:rFonts w:hint="eastAsia" w:ascii="宋体" w:hAnsi="宋体" w:eastAsia="宋体" w:cs="宋体"/>
                <w:color w:val="auto"/>
                <w:sz w:val="21"/>
                <w:szCs w:val="21"/>
                <w:highlight w:val="none"/>
              </w:rPr>
            </w:pPr>
          </w:p>
          <w:p w14:paraId="1CC7FAAF">
            <w:pPr>
              <w:pStyle w:val="112"/>
              <w:spacing w:after="50" w:line="360" w:lineRule="auto"/>
              <w:rPr>
                <w:rFonts w:hint="eastAsia" w:ascii="宋体" w:hAnsi="宋体" w:eastAsia="宋体" w:cs="宋体"/>
                <w:color w:val="auto"/>
                <w:sz w:val="21"/>
                <w:szCs w:val="21"/>
                <w:highlight w:val="none"/>
              </w:rPr>
            </w:pPr>
          </w:p>
        </w:tc>
      </w:tr>
      <w:tr w14:paraId="46CFF1E9">
        <w:tblPrEx>
          <w:tblCellMar>
            <w:top w:w="0" w:type="dxa"/>
            <w:left w:w="108" w:type="dxa"/>
            <w:bottom w:w="0" w:type="dxa"/>
            <w:right w:w="108" w:type="dxa"/>
          </w:tblCellMar>
        </w:tblPrEx>
        <w:tc>
          <w:tcPr>
            <w:tcW w:w="4326" w:type="dxa"/>
            <w:noWrap w:val="0"/>
            <w:vAlign w:val="top"/>
          </w:tcPr>
          <w:p w14:paraId="76D83320">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统一社会信用代码：</w:t>
            </w:r>
          </w:p>
          <w:p w14:paraId="380BE425">
            <w:pPr>
              <w:pStyle w:val="112"/>
              <w:spacing w:after="50" w:line="360" w:lineRule="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 xml:space="preserve">                 </w:t>
            </w:r>
          </w:p>
          <w:p w14:paraId="19E38D95">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kern w:val="0"/>
                <w:sz w:val="21"/>
                <w:szCs w:val="21"/>
                <w:highlight w:val="none"/>
                <w:u w:val="single"/>
              </w:rPr>
              <w:t xml:space="preserve">                  </w:t>
            </w:r>
          </w:p>
          <w:p w14:paraId="0F78CAD0">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p>
          <w:p w14:paraId="4027FFAC">
            <w:pPr>
              <w:pStyle w:val="112"/>
              <w:spacing w:after="50"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p>
          <w:p w14:paraId="23A31DEC">
            <w:pPr>
              <w:pStyle w:val="112"/>
              <w:spacing w:after="50"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委托代理人：</w:t>
            </w:r>
            <w:r>
              <w:rPr>
                <w:rFonts w:hint="eastAsia" w:ascii="宋体" w:hAnsi="宋体" w:eastAsia="宋体" w:cs="宋体"/>
                <w:color w:val="auto"/>
                <w:kern w:val="0"/>
                <w:sz w:val="21"/>
                <w:szCs w:val="21"/>
                <w:highlight w:val="none"/>
                <w:u w:val="single"/>
              </w:rPr>
              <w:t>/</w:t>
            </w:r>
          </w:p>
          <w:p w14:paraId="226C1EF0">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u w:val="single"/>
              </w:rPr>
              <w:t xml:space="preserve">            </w:t>
            </w:r>
          </w:p>
          <w:p w14:paraId="745AA4FC">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p>
          <w:p w14:paraId="1EDFD241">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账号：</w:t>
            </w:r>
            <w:r>
              <w:rPr>
                <w:rFonts w:hint="eastAsia" w:ascii="宋体" w:hAnsi="宋体" w:eastAsia="宋体" w:cs="宋体"/>
                <w:color w:val="auto"/>
                <w:sz w:val="21"/>
                <w:szCs w:val="21"/>
                <w:highlight w:val="none"/>
                <w:u w:val="single"/>
              </w:rPr>
              <w:t xml:space="preserve">            </w:t>
            </w:r>
          </w:p>
        </w:tc>
        <w:tc>
          <w:tcPr>
            <w:tcW w:w="4196" w:type="dxa"/>
            <w:noWrap w:val="0"/>
            <w:vAlign w:val="top"/>
          </w:tcPr>
          <w:p w14:paraId="65CC64AD">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统一社会信用代码：</w:t>
            </w:r>
          </w:p>
          <w:p w14:paraId="6F6788EF">
            <w:pPr>
              <w:pStyle w:val="112"/>
              <w:spacing w:after="50" w:line="360" w:lineRule="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 xml:space="preserve">                 </w:t>
            </w:r>
          </w:p>
          <w:p w14:paraId="4249C62E">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kern w:val="0"/>
                <w:sz w:val="21"/>
                <w:szCs w:val="21"/>
                <w:highlight w:val="none"/>
                <w:u w:val="single"/>
              </w:rPr>
              <w:t xml:space="preserve">                 </w:t>
            </w:r>
          </w:p>
          <w:p w14:paraId="688EC964">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p>
          <w:p w14:paraId="61CB42FB">
            <w:pPr>
              <w:pStyle w:val="112"/>
              <w:spacing w:after="50"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p>
          <w:p w14:paraId="7D41EF3D">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委托代理人：</w:t>
            </w:r>
            <w:r>
              <w:rPr>
                <w:rFonts w:hint="eastAsia" w:ascii="宋体" w:hAnsi="宋体" w:eastAsia="宋体" w:cs="宋体"/>
                <w:color w:val="auto"/>
                <w:kern w:val="0"/>
                <w:sz w:val="21"/>
                <w:szCs w:val="21"/>
                <w:highlight w:val="none"/>
                <w:u w:val="single"/>
              </w:rPr>
              <w:t>/</w:t>
            </w:r>
          </w:p>
          <w:p w14:paraId="1ACBC279">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u w:val="single"/>
              </w:rPr>
              <w:t xml:space="preserve">            </w:t>
            </w:r>
          </w:p>
          <w:p w14:paraId="4F2B0E8B">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 xml:space="preserve">     </w:t>
            </w:r>
          </w:p>
          <w:p w14:paraId="407EDB8F">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账号：</w:t>
            </w:r>
            <w:r>
              <w:rPr>
                <w:rFonts w:hint="eastAsia" w:ascii="宋体" w:hAnsi="宋体" w:eastAsia="宋体" w:cs="宋体"/>
                <w:color w:val="auto"/>
                <w:kern w:val="0"/>
                <w:sz w:val="21"/>
                <w:szCs w:val="21"/>
                <w:highlight w:val="none"/>
                <w:u w:val="single"/>
              </w:rPr>
              <w:t xml:space="preserve">            </w:t>
            </w:r>
          </w:p>
        </w:tc>
      </w:tr>
    </w:tbl>
    <w:p w14:paraId="3B218416">
      <w:pPr>
        <w:widowControl/>
        <w:jc w:val="left"/>
        <w:rPr>
          <w:rFonts w:ascii="宋体" w:hAnsi="宋体"/>
          <w:b/>
          <w:bCs/>
          <w:color w:val="auto"/>
          <w:kern w:val="44"/>
          <w:sz w:val="28"/>
          <w:szCs w:val="28"/>
          <w:highlight w:val="none"/>
        </w:rPr>
      </w:pPr>
      <w:r>
        <w:rPr>
          <w:rFonts w:ascii="宋体" w:hAnsi="宋体"/>
          <w:color w:val="auto"/>
          <w:sz w:val="28"/>
          <w:szCs w:val="28"/>
          <w:highlight w:val="none"/>
        </w:rPr>
        <w:br w:type="page"/>
      </w:r>
    </w:p>
    <w:p w14:paraId="4B80EAEB">
      <w:pPr>
        <w:spacing w:before="156" w:beforeLines="50" w:after="156" w:afterLines="50" w:line="360" w:lineRule="auto"/>
        <w:ind w:firstLine="6160" w:firstLineChars="2800"/>
        <w:contextualSpacing/>
        <w:jc w:val="both"/>
        <w:rPr>
          <w:rFonts w:ascii="宋体" w:hAnsi="宋体"/>
          <w:color w:val="auto"/>
          <w:highlight w:val="none"/>
        </w:rPr>
      </w:pPr>
      <w:bookmarkStart w:id="146" w:name="_Toc4498"/>
      <w:r>
        <w:rPr>
          <w:rFonts w:hint="eastAsia" w:ascii="宋体" w:hAnsi="宋体" w:cs="宋体"/>
          <w:color w:val="auto"/>
          <w:sz w:val="22"/>
          <w:szCs w:val="22"/>
          <w:highlight w:val="none"/>
          <w:lang w:bidi="ar"/>
        </w:rPr>
        <w:t xml:space="preserve">合同编号：    </w:t>
      </w:r>
    </w:p>
    <w:p w14:paraId="7AEB2572">
      <w:pPr>
        <w:keepNext w:val="0"/>
        <w:keepLines w:val="0"/>
        <w:pageBreakBefore w:val="0"/>
        <w:widowControl/>
        <w:kinsoku/>
        <w:wordWrap/>
        <w:overflowPunct/>
        <w:topLinePunct w:val="0"/>
        <w:autoSpaceDE/>
        <w:autoSpaceDN/>
        <w:bidi w:val="0"/>
        <w:adjustRightInd/>
        <w:snapToGrid w:val="0"/>
        <w:spacing w:line="360" w:lineRule="auto"/>
        <w:ind w:left="-210" w:leftChars="-100"/>
        <w:jc w:val="center"/>
        <w:textAlignment w:val="auto"/>
        <w:rPr>
          <w:rFonts w:hint="eastAsia" w:hAnsi="宋体"/>
          <w:b/>
          <w:color w:val="auto"/>
          <w:kern w:val="2"/>
          <w:sz w:val="48"/>
          <w:szCs w:val="40"/>
          <w:highlight w:val="none"/>
          <w:lang w:eastAsia="zh-CN"/>
        </w:rPr>
      </w:pPr>
    </w:p>
    <w:p w14:paraId="55E34ED3">
      <w:pPr>
        <w:keepNext w:val="0"/>
        <w:keepLines w:val="0"/>
        <w:pageBreakBefore w:val="0"/>
        <w:widowControl/>
        <w:kinsoku/>
        <w:wordWrap/>
        <w:overflowPunct/>
        <w:topLinePunct w:val="0"/>
        <w:autoSpaceDE/>
        <w:autoSpaceDN/>
        <w:bidi w:val="0"/>
        <w:adjustRightInd/>
        <w:snapToGrid w:val="0"/>
        <w:spacing w:line="360" w:lineRule="auto"/>
        <w:ind w:left="-210" w:leftChars="-100"/>
        <w:jc w:val="center"/>
        <w:textAlignment w:val="auto"/>
        <w:rPr>
          <w:rFonts w:hAnsi="宋体"/>
          <w:b/>
          <w:color w:val="auto"/>
          <w:kern w:val="2"/>
          <w:sz w:val="48"/>
          <w:szCs w:val="40"/>
          <w:highlight w:val="none"/>
        </w:rPr>
      </w:pPr>
      <w:r>
        <w:rPr>
          <w:rFonts w:hint="eastAsia" w:hAnsi="宋体"/>
          <w:b/>
          <w:color w:val="auto"/>
          <w:kern w:val="2"/>
          <w:sz w:val="48"/>
          <w:szCs w:val="40"/>
          <w:highlight w:val="none"/>
          <w:lang w:eastAsia="zh-CN"/>
        </w:rPr>
        <w:t>织金高原泉水务有限公司35%股权、债权资产包整体转让中介服务采购项目</w:t>
      </w:r>
      <w:r>
        <w:rPr>
          <w:rFonts w:hint="eastAsia" w:hAnsi="宋体"/>
          <w:b/>
          <w:color w:val="auto"/>
          <w:kern w:val="2"/>
          <w:sz w:val="48"/>
          <w:szCs w:val="40"/>
          <w:highlight w:val="none"/>
          <w:lang w:eastAsia="zh-CN"/>
        </w:rPr>
        <w:br w:type="textWrapping"/>
      </w:r>
      <w:r>
        <w:rPr>
          <w:rFonts w:hint="eastAsia" w:hAnsi="宋体"/>
          <w:b/>
          <w:color w:val="auto"/>
          <w:kern w:val="2"/>
          <w:sz w:val="44"/>
          <w:szCs w:val="36"/>
          <w:highlight w:val="none"/>
          <w:lang w:val="en-US" w:eastAsia="zh-CN"/>
        </w:rPr>
        <w:t>标包：2</w:t>
      </w:r>
      <w:r>
        <w:rPr>
          <w:rFonts w:hint="eastAsia" w:hAnsi="宋体"/>
          <w:b/>
          <w:color w:val="auto"/>
          <w:kern w:val="2"/>
          <w:sz w:val="44"/>
          <w:szCs w:val="36"/>
          <w:highlight w:val="none"/>
        </w:rPr>
        <w:t>合同</w:t>
      </w:r>
    </w:p>
    <w:p w14:paraId="75F32F41">
      <w:pPr>
        <w:tabs>
          <w:tab w:val="left" w:pos="180"/>
        </w:tabs>
        <w:spacing w:line="360" w:lineRule="auto"/>
        <w:ind w:left="2730" w:leftChars="800" w:hanging="1050" w:hangingChars="500"/>
        <w:rPr>
          <w:rFonts w:hint="eastAsia" w:ascii="宋体" w:hAnsi="宋体" w:eastAsia="宋体" w:cs="宋体"/>
          <w:color w:val="auto"/>
          <w:highlight w:val="none"/>
        </w:rPr>
      </w:pPr>
    </w:p>
    <w:p w14:paraId="11CA7883">
      <w:pPr>
        <w:tabs>
          <w:tab w:val="left" w:pos="180"/>
        </w:tabs>
        <w:spacing w:line="360" w:lineRule="auto"/>
        <w:ind w:left="2730" w:leftChars="800" w:hanging="1050" w:hangingChars="500"/>
        <w:rPr>
          <w:rFonts w:hint="eastAsia" w:ascii="宋体" w:hAnsi="宋体" w:eastAsia="宋体" w:cs="宋体"/>
          <w:color w:val="auto"/>
          <w:highlight w:val="none"/>
        </w:rPr>
      </w:pPr>
    </w:p>
    <w:p w14:paraId="72F66B86">
      <w:pPr>
        <w:tabs>
          <w:tab w:val="left" w:pos="180"/>
        </w:tabs>
        <w:spacing w:line="360" w:lineRule="auto"/>
        <w:ind w:left="2730" w:leftChars="800" w:hanging="1050" w:hangingChars="500"/>
        <w:rPr>
          <w:rFonts w:hint="eastAsia" w:ascii="宋体" w:hAnsi="宋体" w:eastAsia="宋体" w:cs="宋体"/>
          <w:color w:val="auto"/>
          <w:highlight w:val="none"/>
        </w:rPr>
      </w:pPr>
    </w:p>
    <w:p w14:paraId="0DC86A47">
      <w:pPr>
        <w:tabs>
          <w:tab w:val="left" w:pos="180"/>
        </w:tabs>
        <w:spacing w:line="360" w:lineRule="auto"/>
        <w:ind w:left="2730" w:leftChars="800" w:hanging="1050" w:hangingChars="500"/>
        <w:rPr>
          <w:rFonts w:hint="eastAsia" w:ascii="宋体" w:hAnsi="宋体" w:eastAsia="宋体" w:cs="宋体"/>
          <w:color w:val="auto"/>
          <w:highlight w:val="none"/>
        </w:rPr>
      </w:pPr>
    </w:p>
    <w:p w14:paraId="2CA042E1">
      <w:pPr>
        <w:tabs>
          <w:tab w:val="left" w:pos="180"/>
        </w:tabs>
        <w:spacing w:line="360" w:lineRule="auto"/>
        <w:ind w:left="2730" w:leftChars="800" w:hanging="1050" w:hangingChars="500"/>
        <w:rPr>
          <w:rFonts w:hint="eastAsia" w:ascii="宋体" w:hAnsi="宋体" w:eastAsia="宋体" w:cs="宋体"/>
          <w:color w:val="auto"/>
          <w:highlight w:val="none"/>
        </w:rPr>
      </w:pPr>
    </w:p>
    <w:p w14:paraId="3553D8E7">
      <w:pPr>
        <w:tabs>
          <w:tab w:val="left" w:pos="180"/>
        </w:tabs>
        <w:spacing w:line="360" w:lineRule="auto"/>
        <w:ind w:left="2730" w:leftChars="800" w:hanging="1050" w:hangingChars="500"/>
        <w:rPr>
          <w:rFonts w:hint="eastAsia" w:ascii="宋体" w:hAnsi="宋体" w:eastAsia="宋体" w:cs="宋体"/>
          <w:color w:val="auto"/>
          <w:highlight w:val="none"/>
        </w:rPr>
      </w:pPr>
    </w:p>
    <w:p w14:paraId="4A2F850A">
      <w:pPr>
        <w:tabs>
          <w:tab w:val="left" w:pos="180"/>
        </w:tabs>
        <w:spacing w:line="360" w:lineRule="auto"/>
        <w:ind w:left="2730" w:leftChars="800" w:hanging="1050" w:hangingChars="500"/>
        <w:rPr>
          <w:rFonts w:hint="eastAsia" w:ascii="宋体" w:hAnsi="宋体" w:eastAsia="宋体" w:cs="宋体"/>
          <w:color w:val="auto"/>
          <w:highlight w:val="none"/>
        </w:rPr>
      </w:pPr>
    </w:p>
    <w:p w14:paraId="466377A5">
      <w:pPr>
        <w:tabs>
          <w:tab w:val="left" w:pos="180"/>
        </w:tabs>
        <w:spacing w:line="360" w:lineRule="auto"/>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8"/>
          <w:highlight w:val="none"/>
        </w:rPr>
        <w:t>项目名称：</w:t>
      </w:r>
      <w:r>
        <w:rPr>
          <w:rFonts w:hint="eastAsia" w:ascii="宋体" w:hAnsi="宋体" w:cs="宋体"/>
          <w:color w:val="auto"/>
          <w:sz w:val="24"/>
          <w:szCs w:val="24"/>
          <w:highlight w:val="none"/>
          <w:u w:val="single"/>
          <w:lang w:val="en-US" w:eastAsia="zh-CN"/>
        </w:rPr>
        <w:t>织金高原泉水务有限公司35%股权、债权资产包整体转让中介服务采购项目</w:t>
      </w:r>
    </w:p>
    <w:p w14:paraId="4BBED40F">
      <w:pPr>
        <w:tabs>
          <w:tab w:val="left" w:pos="180"/>
        </w:tabs>
        <w:spacing w:line="360" w:lineRule="auto"/>
        <w:ind w:left="210" w:leftChars="100" w:firstLine="480" w:firstLineChars="200"/>
        <w:rPr>
          <w:rFonts w:hint="eastAsia" w:ascii="宋体" w:hAnsi="宋体" w:eastAsia="宋体" w:cs="宋体"/>
          <w:color w:val="auto"/>
          <w:sz w:val="24"/>
          <w:szCs w:val="28"/>
          <w:highlight w:val="none"/>
        </w:rPr>
      </w:pPr>
    </w:p>
    <w:p w14:paraId="7359AA62">
      <w:pPr>
        <w:tabs>
          <w:tab w:val="left" w:pos="180"/>
        </w:tabs>
        <w:spacing w:line="360" w:lineRule="auto"/>
        <w:ind w:firstLine="960" w:firstLineChars="400"/>
        <w:rPr>
          <w:rFonts w:hint="eastAsia" w:ascii="宋体" w:hAnsi="宋体" w:eastAsia="宋体" w:cs="宋体"/>
          <w:color w:val="auto"/>
          <w:sz w:val="24"/>
          <w:szCs w:val="28"/>
          <w:highlight w:val="none"/>
          <w:u w:val="single"/>
        </w:rPr>
      </w:pPr>
      <w:r>
        <w:rPr>
          <w:rFonts w:hint="eastAsia" w:ascii="宋体" w:hAnsi="宋体" w:eastAsia="宋体" w:cs="宋体"/>
          <w:color w:val="auto"/>
          <w:sz w:val="24"/>
          <w:szCs w:val="28"/>
          <w:highlight w:val="none"/>
        </w:rPr>
        <w:t>委托方（甲方）：</w:t>
      </w:r>
    </w:p>
    <w:p w14:paraId="19A1C690">
      <w:pPr>
        <w:tabs>
          <w:tab w:val="left" w:pos="180"/>
        </w:tabs>
        <w:spacing w:line="360" w:lineRule="auto"/>
        <w:ind w:left="210" w:leftChars="100" w:firstLine="480" w:firstLineChars="200"/>
        <w:rPr>
          <w:rFonts w:hint="eastAsia" w:ascii="宋体" w:hAnsi="宋体" w:eastAsia="宋体" w:cs="宋体"/>
          <w:color w:val="auto"/>
          <w:sz w:val="24"/>
          <w:szCs w:val="28"/>
          <w:highlight w:val="none"/>
        </w:rPr>
      </w:pPr>
    </w:p>
    <w:p w14:paraId="3CAC11EB">
      <w:pPr>
        <w:tabs>
          <w:tab w:val="left" w:pos="180"/>
        </w:tabs>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承接人（乙方）： </w:t>
      </w:r>
    </w:p>
    <w:p w14:paraId="20A4181C">
      <w:pPr>
        <w:tabs>
          <w:tab w:val="left" w:pos="180"/>
        </w:tabs>
        <w:spacing w:line="360" w:lineRule="auto"/>
        <w:ind w:firstLine="960" w:firstLineChars="400"/>
        <w:rPr>
          <w:rFonts w:hint="eastAsia" w:ascii="宋体" w:hAnsi="宋体" w:eastAsia="宋体" w:cs="宋体"/>
          <w:color w:val="auto"/>
          <w:sz w:val="24"/>
          <w:szCs w:val="24"/>
          <w:highlight w:val="none"/>
        </w:rPr>
      </w:pPr>
    </w:p>
    <w:p w14:paraId="740E7D0E">
      <w:pPr>
        <w:tabs>
          <w:tab w:val="left" w:pos="180"/>
        </w:tabs>
        <w:spacing w:line="360" w:lineRule="auto"/>
        <w:ind w:firstLine="960" w:firstLineChars="400"/>
        <w:rPr>
          <w:rFonts w:hint="eastAsia" w:ascii="宋体" w:hAnsi="宋体" w:eastAsia="宋体" w:cs="宋体"/>
          <w:color w:val="auto"/>
          <w:sz w:val="24"/>
          <w:szCs w:val="24"/>
          <w:highlight w:val="none"/>
        </w:rPr>
      </w:pPr>
    </w:p>
    <w:p w14:paraId="7521D4E1">
      <w:pPr>
        <w:tabs>
          <w:tab w:val="left" w:pos="180"/>
        </w:tabs>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4AE05F4D">
      <w:pPr>
        <w:pStyle w:val="111"/>
        <w:spacing w:line="400" w:lineRule="exact"/>
        <w:ind w:firstLine="420" w:firstLineChars="200"/>
        <w:outlineLvl w:val="9"/>
        <w:rPr>
          <w:rFonts w:hAnsi="宋体" w:cs="宋体"/>
          <w:bCs/>
          <w:color w:val="auto"/>
          <w:sz w:val="21"/>
          <w:highlight w:val="none"/>
        </w:rPr>
      </w:pPr>
    </w:p>
    <w:p w14:paraId="39697E38">
      <w:pPr>
        <w:snapToGrid w:val="0"/>
        <w:spacing w:line="360" w:lineRule="auto"/>
        <w:rPr>
          <w:rFonts w:hint="eastAsia" w:asciiTheme="minorEastAsia" w:hAnsiTheme="minorEastAsia" w:eastAsiaTheme="minorEastAsia" w:cstheme="minorEastAsia"/>
          <w:color w:val="auto"/>
          <w:sz w:val="21"/>
          <w:szCs w:val="21"/>
          <w:highlight w:val="none"/>
        </w:rPr>
      </w:pPr>
    </w:p>
    <w:p w14:paraId="6E007078">
      <w:pPr>
        <w:snapToGrid w:val="0"/>
        <w:spacing w:line="360" w:lineRule="auto"/>
        <w:rPr>
          <w:rFonts w:hint="eastAsia" w:asciiTheme="minorEastAsia" w:hAnsiTheme="minorEastAsia" w:eastAsiaTheme="minorEastAsia" w:cstheme="minorEastAsia"/>
          <w:color w:val="auto"/>
          <w:sz w:val="21"/>
          <w:szCs w:val="21"/>
          <w:highlight w:val="none"/>
        </w:rPr>
      </w:pPr>
    </w:p>
    <w:p w14:paraId="4093F603">
      <w:pPr>
        <w:snapToGrid w:val="0"/>
        <w:spacing w:line="360" w:lineRule="auto"/>
        <w:rPr>
          <w:rFonts w:hint="eastAsia" w:asciiTheme="minorEastAsia" w:hAnsiTheme="minorEastAsia" w:eastAsiaTheme="minorEastAsia" w:cstheme="minorEastAsia"/>
          <w:color w:val="auto"/>
          <w:sz w:val="21"/>
          <w:szCs w:val="21"/>
          <w:highlight w:val="none"/>
        </w:rPr>
      </w:pPr>
    </w:p>
    <w:p w14:paraId="19213AD0">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br w:type="page"/>
      </w:r>
    </w:p>
    <w:p w14:paraId="388EFCB0">
      <w:pPr>
        <w:snapToGrid w:val="0"/>
        <w:spacing w:line="360" w:lineRule="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委托方(甲方)：</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val="en-US" w:eastAsia="zh-CN"/>
        </w:rPr>
        <w:t xml:space="preserve">     </w:t>
      </w:r>
    </w:p>
    <w:p w14:paraId="2797C018">
      <w:pPr>
        <w:spacing w:line="360" w:lineRule="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法定代表人：</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 xml:space="preserve"> </w:t>
      </w:r>
    </w:p>
    <w:p w14:paraId="4AE8E231">
      <w:pPr>
        <w:spacing w:line="360" w:lineRule="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联系地址：</w:t>
      </w:r>
      <w:r>
        <w:rPr>
          <w:rFonts w:hint="eastAsia" w:asciiTheme="minorEastAsia" w:hAnsiTheme="minorEastAsia" w:eastAsiaTheme="minorEastAsia" w:cstheme="minorEastAsia"/>
          <w:color w:val="auto"/>
          <w:sz w:val="21"/>
          <w:szCs w:val="21"/>
          <w:highlight w:val="none"/>
          <w:u w:val="single"/>
        </w:rPr>
        <w:t xml:space="preserve">                                        </w:t>
      </w:r>
    </w:p>
    <w:p w14:paraId="4C880B7F">
      <w:pPr>
        <w:snapToGrid w:val="0"/>
        <w:spacing w:line="360" w:lineRule="auto"/>
        <w:ind w:left="210" w:leftChars="100"/>
        <w:rPr>
          <w:rFonts w:hint="eastAsia" w:asciiTheme="minorEastAsia" w:hAnsiTheme="minorEastAsia" w:eastAsiaTheme="minorEastAsia" w:cstheme="minorEastAsia"/>
          <w:color w:val="auto"/>
          <w:sz w:val="21"/>
          <w:szCs w:val="21"/>
          <w:highlight w:val="none"/>
          <w:u w:val="single"/>
        </w:rPr>
      </w:pPr>
    </w:p>
    <w:p w14:paraId="6CB143EC">
      <w:pPr>
        <w:snapToGrid w:val="0"/>
        <w:spacing w:line="360" w:lineRule="auto"/>
        <w:rPr>
          <w:rFonts w:hint="eastAsia" w:asciiTheme="minorEastAsia" w:hAnsiTheme="minorEastAsia" w:eastAsiaTheme="minorEastAsia" w:cstheme="minorEastAsia"/>
          <w:color w:val="auto"/>
          <w:sz w:val="21"/>
          <w:szCs w:val="21"/>
          <w:highlight w:val="none"/>
          <w:u w:val="none"/>
        </w:rPr>
      </w:pPr>
      <w:r>
        <w:rPr>
          <w:rFonts w:hint="eastAsia" w:asciiTheme="minorEastAsia" w:hAnsiTheme="minorEastAsia" w:eastAsiaTheme="minorEastAsia" w:cstheme="minorEastAsia"/>
          <w:color w:val="auto"/>
          <w:sz w:val="21"/>
          <w:szCs w:val="21"/>
          <w:highlight w:val="none"/>
        </w:rPr>
        <w:t>承接方</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乙方</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u w:val="single"/>
          <w:lang w:val="en-US" w:eastAsia="zh-CN"/>
        </w:rPr>
        <w:t xml:space="preserve">                                 </w:t>
      </w:r>
    </w:p>
    <w:p w14:paraId="7F5F7FC4">
      <w:pPr>
        <w:spacing w:line="360" w:lineRule="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法定代表人：</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 xml:space="preserve">   </w:t>
      </w:r>
    </w:p>
    <w:p w14:paraId="05C65181">
      <w:pPr>
        <w:spacing w:line="360" w:lineRule="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联系地址：</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 xml:space="preserve">         </w:t>
      </w:r>
    </w:p>
    <w:p w14:paraId="2EDAD02A">
      <w:pPr>
        <w:numPr>
          <w:ilvl w:val="255"/>
          <w:numId w:val="0"/>
        </w:numPr>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p>
    <w:p w14:paraId="6AAD2139">
      <w:pPr>
        <w:numPr>
          <w:ilvl w:val="255"/>
          <w:numId w:val="0"/>
        </w:numPr>
        <w:spacing w:line="360" w:lineRule="auto"/>
        <w:ind w:firstLine="420" w:firstLineChars="200"/>
        <w:jc w:val="left"/>
        <w:rPr>
          <w:rFonts w:hint="eastAsia" w:asciiTheme="minorEastAsia" w:hAnsiTheme="minorEastAsia" w:eastAsiaTheme="minorEastAsia" w:cstheme="minorEastAsia"/>
          <w:b w:val="0"/>
          <w:bCs w:val="0"/>
          <w:color w:val="auto"/>
          <w:sz w:val="21"/>
          <w:szCs w:val="21"/>
          <w:highlight w:val="none"/>
        </w:rPr>
      </w:pPr>
      <w:r>
        <w:rPr>
          <w:rFonts w:hint="eastAsia" w:ascii="宋体" w:hAnsi="宋体" w:eastAsia="宋体" w:cs="宋体"/>
          <w:color w:val="auto"/>
          <w:sz w:val="21"/>
          <w:szCs w:val="21"/>
          <w:highlight w:val="none"/>
        </w:rPr>
        <w:t>经甲乙双方协商一致，确定由乙方作为</w:t>
      </w:r>
      <w:r>
        <w:rPr>
          <w:rFonts w:hint="eastAsia" w:ascii="宋体" w:hAnsi="宋体" w:cs="宋体"/>
          <w:color w:val="auto"/>
          <w:sz w:val="21"/>
          <w:szCs w:val="21"/>
          <w:highlight w:val="none"/>
          <w:u w:val="single"/>
          <w:lang w:eastAsia="zh-CN"/>
        </w:rPr>
        <w:t>织金高原泉水务有限公司35%股权、债权资产包整体转让中介服务采购项目</w:t>
      </w:r>
      <w:r>
        <w:rPr>
          <w:rFonts w:hint="eastAsia" w:ascii="宋体" w:hAnsi="宋体" w:eastAsia="宋体" w:cs="宋体"/>
          <w:color w:val="auto"/>
          <w:sz w:val="21"/>
          <w:szCs w:val="21"/>
          <w:highlight w:val="none"/>
        </w:rPr>
        <w:t>的承包单位,为明确双方的权利、义务，保质、保量、按期完成工程任务，双方根据《中华人民共和国民法典》等法律法规，签订本合同</w:t>
      </w:r>
      <w:r>
        <w:rPr>
          <w:rFonts w:hint="eastAsia" w:asciiTheme="minorEastAsia" w:hAnsiTheme="minorEastAsia" w:eastAsiaTheme="minorEastAsia" w:cstheme="minorEastAsia"/>
          <w:color w:val="auto"/>
          <w:sz w:val="21"/>
          <w:szCs w:val="21"/>
          <w:highlight w:val="none"/>
        </w:rPr>
        <w:t>。</w:t>
      </w:r>
    </w:p>
    <w:p w14:paraId="1EFB47E7">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第一条 项目概况</w:t>
      </w:r>
    </w:p>
    <w:p w14:paraId="48F0A06D">
      <w:pPr>
        <w:widowControl w:val="0"/>
        <w:autoSpaceDE/>
        <w:autoSpaceDN/>
        <w:adjustRightInd/>
        <w:snapToGrid/>
        <w:spacing w:before="0" w:after="0"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我司需对外出售所持有的贵州新锶源饮用水销售有限公司80%股权。为保障上述股权转让工作合法合规、顺利推进，需聘请专业服务单位提供清产核资审计服务。</w:t>
      </w:r>
    </w:p>
    <w:p w14:paraId="5FD962F3">
      <w:pPr>
        <w:numPr>
          <w:ilvl w:val="255"/>
          <w:numId w:val="0"/>
        </w:numPr>
        <w:spacing w:line="360" w:lineRule="auto"/>
        <w:ind w:firstLine="0" w:firstLineChars="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kern w:val="2"/>
          <w:sz w:val="21"/>
          <w:szCs w:val="21"/>
          <w:highlight w:val="none"/>
          <w:lang w:val="en-US" w:eastAsia="zh-CN" w:bidi="ar-SA"/>
        </w:rPr>
        <w:t>第二条 服务</w:t>
      </w:r>
      <w:r>
        <w:rPr>
          <w:rFonts w:hint="eastAsia" w:asciiTheme="minorEastAsia" w:hAnsiTheme="minorEastAsia" w:eastAsiaTheme="minorEastAsia" w:cstheme="minorEastAsia"/>
          <w:b/>
          <w:bCs/>
          <w:color w:val="auto"/>
          <w:sz w:val="21"/>
          <w:szCs w:val="21"/>
          <w:highlight w:val="none"/>
        </w:rPr>
        <w:t xml:space="preserve">内容   </w:t>
      </w:r>
      <w:r>
        <w:rPr>
          <w:rFonts w:hint="eastAsia" w:asciiTheme="minorEastAsia" w:hAnsiTheme="minorEastAsia" w:eastAsiaTheme="minorEastAsia" w:cstheme="minorEastAsia"/>
          <w:color w:val="auto"/>
          <w:sz w:val="21"/>
          <w:szCs w:val="21"/>
          <w:highlight w:val="none"/>
        </w:rPr>
        <w:t xml:space="preserve">                          </w:t>
      </w:r>
    </w:p>
    <w:p w14:paraId="734FD985">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宋体" w:hAnsi="宋体" w:eastAsia="宋体" w:cs="宋体"/>
          <w:color w:val="auto"/>
          <w:sz w:val="21"/>
          <w:szCs w:val="21"/>
          <w:highlight w:val="none"/>
          <w:lang w:val="en-US" w:eastAsia="zh-CN"/>
        </w:rPr>
        <w:t>根据</w:t>
      </w:r>
      <w:r>
        <w:rPr>
          <w:rFonts w:hint="eastAsia" w:ascii="宋体" w:hAnsi="宋体" w:cs="宋体"/>
          <w:color w:val="auto"/>
          <w:sz w:val="21"/>
          <w:szCs w:val="21"/>
          <w:highlight w:val="none"/>
          <w:lang w:val="en-US" w:eastAsia="zh-CN"/>
        </w:rPr>
        <w:t>采购人确定的</w:t>
      </w:r>
      <w:r>
        <w:rPr>
          <w:rFonts w:hint="eastAsia" w:ascii="宋体" w:hAnsi="宋体" w:eastAsia="宋体" w:cs="宋体"/>
          <w:color w:val="auto"/>
          <w:sz w:val="21"/>
          <w:szCs w:val="21"/>
          <w:highlight w:val="none"/>
          <w:lang w:val="en-US" w:eastAsia="zh-CN"/>
        </w:rPr>
        <w:t>基准日</w:t>
      </w:r>
      <w:r>
        <w:rPr>
          <w:rFonts w:hint="eastAsia" w:ascii="宋体" w:hAnsi="宋体" w:cs="宋体"/>
          <w:color w:val="auto"/>
          <w:sz w:val="21"/>
          <w:szCs w:val="21"/>
          <w:highlight w:val="none"/>
          <w:lang w:val="en-US" w:eastAsia="zh-CN"/>
        </w:rPr>
        <w:t>，对</w:t>
      </w:r>
      <w:r>
        <w:rPr>
          <w:rFonts w:hint="eastAsia" w:asciiTheme="minorEastAsia" w:hAnsiTheme="minorEastAsia" w:eastAsiaTheme="minorEastAsia" w:cstheme="minorEastAsia"/>
          <w:color w:val="auto"/>
          <w:sz w:val="21"/>
          <w:szCs w:val="21"/>
          <w:highlight w:val="none"/>
          <w:lang w:val="en-US" w:eastAsia="zh-CN"/>
        </w:rPr>
        <w:t>贵州新锶源饮用水销售有限公司</w:t>
      </w:r>
      <w:r>
        <w:rPr>
          <w:rFonts w:hint="eastAsia" w:ascii="宋体" w:hAnsi="宋体" w:cs="宋体"/>
          <w:color w:val="auto"/>
          <w:sz w:val="21"/>
          <w:szCs w:val="21"/>
          <w:highlight w:val="none"/>
          <w:lang w:val="en-US" w:eastAsia="zh-CN"/>
        </w:rPr>
        <w:t>的</w:t>
      </w:r>
      <w:r>
        <w:rPr>
          <w:rFonts w:hint="eastAsia" w:ascii="宋体" w:hAnsi="宋体" w:eastAsia="宋体" w:cs="宋体"/>
          <w:color w:val="auto"/>
          <w:sz w:val="21"/>
          <w:szCs w:val="21"/>
          <w:highlight w:val="none"/>
          <w:lang w:val="en-US" w:eastAsia="zh-CN"/>
        </w:rPr>
        <w:t>各项资产、负债、股东权益情况进行审计，重点审计项目公司各项资产的可</w:t>
      </w:r>
      <w:r>
        <w:rPr>
          <w:rFonts w:hint="eastAsia" w:ascii="宋体" w:hAnsi="宋体" w:eastAsia="宋体" w:cs="宋体"/>
          <w:b w:val="0"/>
          <w:bCs/>
          <w:color w:val="auto"/>
          <w:sz w:val="21"/>
          <w:szCs w:val="21"/>
          <w:highlight w:val="none"/>
          <w:lang w:val="en-US" w:eastAsia="zh-CN"/>
        </w:rPr>
        <w:t>回收</w:t>
      </w:r>
      <w:r>
        <w:rPr>
          <w:rFonts w:hint="eastAsia" w:ascii="宋体" w:hAnsi="宋体" w:eastAsia="宋体" w:cs="宋体"/>
          <w:color w:val="auto"/>
          <w:sz w:val="21"/>
          <w:szCs w:val="21"/>
          <w:highlight w:val="none"/>
          <w:lang w:val="en-US" w:eastAsia="zh-CN"/>
        </w:rPr>
        <w:t>、受限及处置的具体情况，核实项目公司各项负债的性质、期限、利息及设置的增信措施等情况</w:t>
      </w:r>
      <w:r>
        <w:rPr>
          <w:rFonts w:hint="eastAsia" w:ascii="宋体" w:hAnsi="宋体" w:cs="宋体"/>
          <w:color w:val="auto"/>
          <w:sz w:val="21"/>
          <w:szCs w:val="21"/>
          <w:highlight w:val="none"/>
          <w:lang w:val="en-US" w:eastAsia="zh-CN"/>
        </w:rPr>
        <w:t>，出具资产审计报告。</w:t>
      </w:r>
    </w:p>
    <w:p w14:paraId="1007CE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textAlignment w:val="auto"/>
        <w:rPr>
          <w:rFonts w:hint="default" w:ascii="宋体" w:hAnsi="宋体" w:cs="宋体"/>
          <w:b/>
          <w:bCs/>
          <w:color w:val="auto"/>
          <w:sz w:val="21"/>
          <w:szCs w:val="21"/>
          <w:highlight w:val="none"/>
          <w:lang w:val="en-US" w:eastAsia="zh-CN"/>
        </w:rPr>
      </w:pPr>
      <w:r>
        <w:rPr>
          <w:rFonts w:hint="eastAsia" w:asciiTheme="minorEastAsia" w:hAnsiTheme="minorEastAsia" w:eastAsiaTheme="minorEastAsia" w:cstheme="minorEastAsia"/>
          <w:b/>
          <w:bCs/>
          <w:color w:val="auto"/>
          <w:kern w:val="2"/>
          <w:sz w:val="21"/>
          <w:szCs w:val="21"/>
          <w:highlight w:val="none"/>
          <w:lang w:val="en-US" w:eastAsia="zh-CN" w:bidi="ar-SA"/>
        </w:rPr>
        <w:t xml:space="preserve">第三条  </w:t>
      </w:r>
      <w:r>
        <w:rPr>
          <w:rFonts w:hint="eastAsia" w:ascii="宋体" w:hAnsi="宋体" w:cs="宋体"/>
          <w:b/>
          <w:bCs/>
          <w:color w:val="auto"/>
          <w:sz w:val="21"/>
          <w:szCs w:val="21"/>
          <w:highlight w:val="none"/>
          <w:lang w:val="en-US" w:eastAsia="zh-CN"/>
        </w:rPr>
        <w:t>服务质量</w:t>
      </w:r>
    </w:p>
    <w:p w14:paraId="583A50B1">
      <w:pPr>
        <w:numPr>
          <w:ilvl w:val="255"/>
          <w:numId w:val="0"/>
        </w:numPr>
        <w:spacing w:line="360" w:lineRule="auto"/>
        <w:ind w:firstLine="422" w:firstLineChars="200"/>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1.服务质量要求</w:t>
      </w:r>
    </w:p>
    <w:p w14:paraId="697E1EC7">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乙方须保证按照相关要求遵守职业道德规范，恪守独立、客观、公正的原则，确保其履行职责所需要的专业胜任能力，以应有的职业谨慎态度执行审核业务。</w:t>
      </w:r>
    </w:p>
    <w:p w14:paraId="518DF494">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乙方应当在实施必要的审计程序后，以经过核实的证据为依据，分析、评价审核结论，形成审计意见，出具审计报告。保证审计报告的真实性、准确性、合法性。</w:t>
      </w:r>
    </w:p>
    <w:p w14:paraId="642C7952">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乙方可在审计过程中合理分配工作量和工作时间，必须保证在合同规定的时间内认真负责地完成合同范围内的服务工作并出具合格的报告。</w:t>
      </w:r>
    </w:p>
    <w:p w14:paraId="4BCCE283">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对甲方或被评估单位所提供的有关文件资料和执业过程中获知的商业秘密，应妥善保管并负保密责任。除法律、法规另有规定的以外，未经甲方书面许可，乙方不得将审计报告内容，以及甲方或被评估单位提供的有关文件资料和执业过程中获知的商业秘密向第三方提供或者公开。上述保密义务，在本项目终止或合同解除之后仍需履行。</w:t>
      </w:r>
    </w:p>
    <w:p w14:paraId="3059C2D5">
      <w:pPr>
        <w:numPr>
          <w:ilvl w:val="255"/>
          <w:numId w:val="0"/>
        </w:numPr>
        <w:spacing w:line="360" w:lineRule="auto"/>
        <w:ind w:firstLine="422" w:firstLineChars="200"/>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2.服务人员要求</w:t>
      </w:r>
    </w:p>
    <w:p w14:paraId="0FEDDEA8">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本项目对乙方服务专业要求高，乙方必须配备经验丰富、数量足够的专业人员，确保审计工作质量。</w:t>
      </w:r>
    </w:p>
    <w:p w14:paraId="44DF99E0">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服务团队项目负责人要求具有注册会计师证书，执业经验3年以上。</w:t>
      </w:r>
    </w:p>
    <w:p w14:paraId="024D3624">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第四条  合同价格及其支付方式</w:t>
      </w:r>
    </w:p>
    <w:p w14:paraId="0AA3FE24">
      <w:pPr>
        <w:spacing w:line="360" w:lineRule="auto"/>
        <w:ind w:firstLine="420" w:firstLineChars="200"/>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1.合同金额：</w:t>
      </w:r>
    </w:p>
    <w:p w14:paraId="2B5F5CF8">
      <w:p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本合同（含税）总价款为</w:t>
      </w:r>
      <w:r>
        <w:rPr>
          <w:rFonts w:hint="eastAsia" w:asciiTheme="minorEastAsia" w:hAnsiTheme="minorEastAsia" w:eastAsiaTheme="minorEastAsia" w:cstheme="minorEastAsia"/>
          <w:color w:val="auto"/>
          <w:sz w:val="21"/>
          <w:szCs w:val="21"/>
          <w:highlight w:val="none"/>
          <w:u w:val="single"/>
          <w:lang w:val="en-US" w:eastAsia="zh-CN"/>
        </w:rPr>
        <w:t>￥    元</w:t>
      </w:r>
      <w:r>
        <w:rPr>
          <w:rFonts w:hint="eastAsia" w:asciiTheme="minorEastAsia" w:hAnsiTheme="minorEastAsia" w:eastAsiaTheme="minorEastAsia" w:cstheme="minorEastAsia"/>
          <w:color w:val="auto"/>
          <w:sz w:val="21"/>
          <w:szCs w:val="21"/>
          <w:highlight w:val="none"/>
          <w:lang w:val="en-US" w:eastAsia="zh-CN"/>
        </w:rPr>
        <w:t>（大写人民币：</w:t>
      </w:r>
      <w:r>
        <w:rPr>
          <w:rFonts w:hint="eastAsia" w:asciiTheme="minorEastAsia" w:hAnsiTheme="minorEastAsia" w:eastAsiaTheme="minorEastAsia" w:cstheme="minorEastAsia"/>
          <w:color w:val="auto"/>
          <w:sz w:val="21"/>
          <w:szCs w:val="21"/>
          <w:highlight w:val="none"/>
          <w:u w:val="single"/>
          <w:lang w:val="en-US" w:eastAsia="zh-CN"/>
        </w:rPr>
        <w:t xml:space="preserve">    元</w:t>
      </w:r>
      <w:r>
        <w:rPr>
          <w:rFonts w:hint="eastAsia" w:asciiTheme="minorEastAsia" w:hAnsiTheme="minorEastAsia" w:eastAsiaTheme="minorEastAsia" w:cstheme="minorEastAsia"/>
          <w:color w:val="auto"/>
          <w:sz w:val="21"/>
          <w:szCs w:val="21"/>
          <w:highlight w:val="none"/>
          <w:lang w:val="en-US" w:eastAsia="zh-CN"/>
        </w:rPr>
        <w:t>，其中：增值税率 为</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lang w:val="en-US" w:eastAsia="zh-CN"/>
        </w:rPr>
        <w:t>，税金金额￥</w:t>
      </w:r>
      <w:r>
        <w:rPr>
          <w:rFonts w:hint="eastAsia" w:asciiTheme="minorEastAsia" w:hAnsiTheme="minorEastAsia" w:eastAsiaTheme="minorEastAsia" w:cstheme="minorEastAsia"/>
          <w:color w:val="auto"/>
          <w:sz w:val="21"/>
          <w:szCs w:val="21"/>
          <w:highlight w:val="none"/>
          <w:u w:val="single"/>
          <w:lang w:val="en-US" w:eastAsia="zh-CN"/>
        </w:rPr>
        <w:t xml:space="preserve">    元</w:t>
      </w:r>
      <w:r>
        <w:rPr>
          <w:rFonts w:hint="eastAsia" w:asciiTheme="minorEastAsia" w:hAnsiTheme="minorEastAsia" w:eastAsiaTheme="minorEastAsia" w:cstheme="minorEastAsia"/>
          <w:color w:val="auto"/>
          <w:sz w:val="21"/>
          <w:szCs w:val="21"/>
          <w:highlight w:val="none"/>
          <w:lang w:val="en-US" w:eastAsia="zh-CN"/>
        </w:rPr>
        <w:t>，不含税合同总价款为￥</w:t>
      </w:r>
      <w:r>
        <w:rPr>
          <w:rFonts w:hint="eastAsia" w:asciiTheme="minorEastAsia" w:hAnsiTheme="minorEastAsia" w:eastAsiaTheme="minorEastAsia" w:cstheme="minorEastAsia"/>
          <w:color w:val="auto"/>
          <w:sz w:val="21"/>
          <w:szCs w:val="21"/>
          <w:highlight w:val="none"/>
          <w:u w:val="single"/>
          <w:lang w:val="en-US" w:eastAsia="zh-CN"/>
        </w:rPr>
        <w:t xml:space="preserve">    元</w:t>
      </w:r>
      <w:r>
        <w:rPr>
          <w:rFonts w:hint="eastAsia" w:asciiTheme="minorEastAsia" w:hAnsiTheme="minorEastAsia" w:eastAsiaTheme="minorEastAsia" w:cstheme="minorEastAsia"/>
          <w:color w:val="auto"/>
          <w:sz w:val="21"/>
          <w:szCs w:val="21"/>
          <w:highlight w:val="none"/>
          <w:lang w:val="en-US" w:eastAsia="zh-CN"/>
        </w:rPr>
        <w:t>。</w:t>
      </w:r>
    </w:p>
    <w:p w14:paraId="0BBE9126">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.付款方式</w:t>
      </w:r>
      <w:r>
        <w:rPr>
          <w:rFonts w:hint="eastAsia" w:asciiTheme="minorEastAsia" w:hAnsiTheme="minorEastAsia" w:eastAsiaTheme="minorEastAsia" w:cstheme="minorEastAsia"/>
          <w:color w:val="auto"/>
          <w:sz w:val="21"/>
          <w:szCs w:val="21"/>
          <w:highlight w:val="none"/>
          <w:lang w:eastAsia="zh-CN"/>
        </w:rPr>
        <w:t>：</w:t>
      </w:r>
    </w:p>
    <w:p w14:paraId="4589D835">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出具相关报告定稿并</w:t>
      </w:r>
      <w:r>
        <w:rPr>
          <w:rFonts w:hint="eastAsia" w:asciiTheme="minorEastAsia" w:hAnsiTheme="minorEastAsia" w:eastAsiaTheme="minorEastAsia" w:cstheme="minorEastAsia"/>
          <w:color w:val="auto"/>
          <w:sz w:val="21"/>
          <w:szCs w:val="21"/>
          <w:highlight w:val="none"/>
        </w:rPr>
        <w:t>由</w:t>
      </w:r>
      <w:r>
        <w:rPr>
          <w:rFonts w:hint="eastAsia" w:asciiTheme="minorEastAsia" w:hAnsiTheme="minorEastAsia" w:eastAsiaTheme="minorEastAsia" w:cstheme="minorEastAsia"/>
          <w:color w:val="auto"/>
          <w:sz w:val="21"/>
          <w:szCs w:val="21"/>
          <w:highlight w:val="none"/>
          <w:lang w:val="en-US" w:eastAsia="zh-CN"/>
        </w:rPr>
        <w:t>甲方</w:t>
      </w:r>
      <w:r>
        <w:rPr>
          <w:rFonts w:hint="eastAsia" w:asciiTheme="minorEastAsia" w:hAnsiTheme="minorEastAsia" w:eastAsiaTheme="minorEastAsia" w:cstheme="minorEastAsia"/>
          <w:color w:val="auto"/>
          <w:sz w:val="21"/>
          <w:szCs w:val="21"/>
          <w:highlight w:val="none"/>
        </w:rPr>
        <w:t>确认无误</w:t>
      </w:r>
      <w:r>
        <w:rPr>
          <w:rFonts w:hint="eastAsia" w:asciiTheme="minorEastAsia" w:hAnsiTheme="minorEastAsia" w:eastAsiaTheme="minorEastAsia" w:cstheme="minorEastAsia"/>
          <w:color w:val="auto"/>
          <w:sz w:val="21"/>
          <w:szCs w:val="21"/>
          <w:highlight w:val="none"/>
          <w:lang w:val="en-US" w:eastAsia="zh-CN"/>
        </w:rPr>
        <w:t>之日起5个工作日内支付合同金额的100%</w:t>
      </w:r>
      <w:r>
        <w:rPr>
          <w:rFonts w:hint="eastAsia" w:asciiTheme="minorEastAsia" w:hAnsiTheme="minorEastAsia" w:eastAsiaTheme="minorEastAsia" w:cstheme="minorEastAsia"/>
          <w:color w:val="auto"/>
          <w:sz w:val="21"/>
          <w:szCs w:val="21"/>
          <w:highlight w:val="none"/>
        </w:rPr>
        <w:t>。</w:t>
      </w:r>
    </w:p>
    <w:p w14:paraId="5D98779A">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按照现行税收政策规定，每次付款前，乙方必须提供合法、有效、与本合同总价款条款中增值税税率一致的增值税专用发票给甲方，否则甲方有权拒绝付款且不构成违约；若合同执行期间，遇国家税务政策调整所引起的合同价格变化，按照不含税价格调整结算价格。</w:t>
      </w:r>
    </w:p>
    <w:p w14:paraId="27CD773E">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3、甲</w:t>
      </w:r>
      <w:r>
        <w:rPr>
          <w:rFonts w:hint="eastAsia" w:asciiTheme="minorEastAsia" w:hAnsiTheme="minorEastAsia" w:eastAsiaTheme="minorEastAsia" w:cstheme="minorEastAsia"/>
          <w:color w:val="auto"/>
          <w:sz w:val="21"/>
          <w:szCs w:val="21"/>
          <w:highlight w:val="none"/>
        </w:rPr>
        <w:t xml:space="preserve">方开票信息如下： </w:t>
      </w:r>
    </w:p>
    <w:p w14:paraId="63084C03">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公司名称：</w:t>
      </w:r>
      <w:r>
        <w:rPr>
          <w:rFonts w:hint="eastAsia" w:asciiTheme="minorEastAsia" w:hAnsiTheme="minorEastAsia" w:eastAsiaTheme="minorEastAsia" w:cstheme="minorEastAsia"/>
          <w:color w:val="auto"/>
          <w:sz w:val="21"/>
          <w:szCs w:val="21"/>
          <w:highlight w:val="none"/>
          <w:lang w:val="en-US" w:eastAsia="zh-CN"/>
        </w:rPr>
        <w:t xml:space="preserve"> </w:t>
      </w:r>
    </w:p>
    <w:p w14:paraId="5A2467E7">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税号：</w:t>
      </w:r>
      <w:r>
        <w:rPr>
          <w:rFonts w:hint="eastAsia" w:asciiTheme="minorEastAsia" w:hAnsiTheme="minorEastAsia" w:eastAsiaTheme="minorEastAsia" w:cstheme="minorEastAsia"/>
          <w:color w:val="auto"/>
          <w:sz w:val="21"/>
          <w:szCs w:val="21"/>
          <w:highlight w:val="none"/>
          <w:lang w:val="en-US" w:eastAsia="zh-CN"/>
        </w:rPr>
        <w:t xml:space="preserve"> </w:t>
      </w:r>
    </w:p>
    <w:p w14:paraId="03485907">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地址：</w:t>
      </w:r>
      <w:r>
        <w:rPr>
          <w:rFonts w:hint="eastAsia" w:asciiTheme="minorEastAsia" w:hAnsiTheme="minorEastAsia" w:eastAsiaTheme="minorEastAsia" w:cstheme="minorEastAsia"/>
          <w:color w:val="auto"/>
          <w:sz w:val="21"/>
          <w:szCs w:val="21"/>
          <w:highlight w:val="none"/>
          <w:lang w:val="en-US" w:eastAsia="zh-CN"/>
        </w:rPr>
        <w:t xml:space="preserve"> </w:t>
      </w:r>
    </w:p>
    <w:p w14:paraId="41BF4926">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开户银行：</w:t>
      </w:r>
    </w:p>
    <w:p w14:paraId="34E3BD83">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账号：</w:t>
      </w:r>
    </w:p>
    <w:p w14:paraId="0111C12C">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本合同</w:t>
      </w:r>
      <w:r>
        <w:rPr>
          <w:rFonts w:hint="eastAsia" w:asciiTheme="minorEastAsia" w:hAnsiTheme="minorEastAsia" w:eastAsiaTheme="minorEastAsia" w:cstheme="minorEastAsia"/>
          <w:color w:val="auto"/>
          <w:sz w:val="21"/>
          <w:szCs w:val="21"/>
          <w:highlight w:val="none"/>
          <w:lang w:val="en-US" w:eastAsia="zh-CN"/>
        </w:rPr>
        <w:t>有关</w:t>
      </w:r>
      <w:r>
        <w:rPr>
          <w:rFonts w:hint="eastAsia" w:asciiTheme="minorEastAsia" w:hAnsiTheme="minorEastAsia" w:eastAsiaTheme="minorEastAsia" w:cstheme="minorEastAsia"/>
          <w:color w:val="auto"/>
          <w:sz w:val="21"/>
          <w:szCs w:val="21"/>
          <w:highlight w:val="none"/>
        </w:rPr>
        <w:t>款项，</w:t>
      </w:r>
      <w:r>
        <w:rPr>
          <w:rFonts w:hint="eastAsia" w:asciiTheme="minorEastAsia" w:hAnsiTheme="minorEastAsia" w:eastAsiaTheme="minorEastAsia" w:cstheme="minorEastAsia"/>
          <w:color w:val="auto"/>
          <w:sz w:val="21"/>
          <w:szCs w:val="21"/>
          <w:highlight w:val="none"/>
          <w:lang w:val="en-US" w:eastAsia="zh-CN"/>
        </w:rPr>
        <w:t>甲方</w:t>
      </w:r>
      <w:r>
        <w:rPr>
          <w:rFonts w:hint="eastAsia" w:asciiTheme="minorEastAsia" w:hAnsiTheme="minorEastAsia" w:eastAsiaTheme="minorEastAsia" w:cstheme="minorEastAsia"/>
          <w:color w:val="auto"/>
          <w:sz w:val="21"/>
          <w:szCs w:val="21"/>
          <w:highlight w:val="none"/>
        </w:rPr>
        <w:t>采用公对公银行转账方式</w:t>
      </w:r>
      <w:r>
        <w:rPr>
          <w:rFonts w:hint="eastAsia" w:asciiTheme="minorEastAsia" w:hAnsiTheme="minorEastAsia" w:eastAsiaTheme="minorEastAsia" w:cstheme="minorEastAsia"/>
          <w:color w:val="auto"/>
          <w:sz w:val="21"/>
          <w:szCs w:val="21"/>
          <w:highlight w:val="none"/>
          <w:lang w:val="en-US" w:eastAsia="zh-CN"/>
        </w:rPr>
        <w:t>分别</w:t>
      </w:r>
      <w:r>
        <w:rPr>
          <w:rFonts w:hint="eastAsia" w:asciiTheme="minorEastAsia" w:hAnsiTheme="minorEastAsia" w:eastAsiaTheme="minorEastAsia" w:cstheme="minorEastAsia"/>
          <w:color w:val="auto"/>
          <w:sz w:val="21"/>
          <w:szCs w:val="21"/>
          <w:highlight w:val="none"/>
        </w:rPr>
        <w:t>付至乙方以下账户：</w:t>
      </w:r>
    </w:p>
    <w:p w14:paraId="7B7782B3">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乙</w:t>
      </w:r>
      <w:r>
        <w:rPr>
          <w:rFonts w:hint="eastAsia" w:asciiTheme="minorEastAsia" w:hAnsiTheme="minorEastAsia" w:eastAsiaTheme="minorEastAsia" w:cstheme="minorEastAsia"/>
          <w:color w:val="auto"/>
          <w:sz w:val="21"/>
          <w:szCs w:val="21"/>
          <w:highlight w:val="none"/>
        </w:rPr>
        <w:t>方银行账户信息</w:t>
      </w:r>
    </w:p>
    <w:p w14:paraId="2A8468EE">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u w:val="single"/>
          <w:lang w:val="en-US" w:eastAsia="zh-CN"/>
        </w:rPr>
      </w:pPr>
      <w:r>
        <w:rPr>
          <w:rFonts w:hint="eastAsia" w:asciiTheme="minorEastAsia" w:hAnsiTheme="minorEastAsia" w:eastAsiaTheme="minorEastAsia" w:cstheme="minorEastAsia"/>
          <w:color w:val="auto"/>
          <w:sz w:val="21"/>
          <w:szCs w:val="21"/>
          <w:highlight w:val="none"/>
          <w:lang w:val="en-US" w:eastAsia="zh-CN"/>
        </w:rPr>
        <w:t>账户名称：</w:t>
      </w:r>
      <w:r>
        <w:rPr>
          <w:rFonts w:hint="eastAsia" w:asciiTheme="minorEastAsia" w:hAnsiTheme="minorEastAsia" w:eastAsiaTheme="minorEastAsia" w:cstheme="minorEastAsia"/>
          <w:color w:val="auto"/>
          <w:sz w:val="21"/>
          <w:szCs w:val="21"/>
          <w:highlight w:val="none"/>
          <w:u w:val="single"/>
          <w:lang w:val="en-US" w:eastAsia="zh-CN"/>
        </w:rPr>
        <w:t xml:space="preserve">                                 </w:t>
      </w:r>
    </w:p>
    <w:p w14:paraId="7F61B0DE">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开户银行：</w:t>
      </w:r>
      <w:r>
        <w:rPr>
          <w:rFonts w:hint="eastAsia" w:asciiTheme="minorEastAsia" w:hAnsiTheme="minorEastAsia" w:eastAsiaTheme="minorEastAsia" w:cstheme="minorEastAsia"/>
          <w:color w:val="auto"/>
          <w:sz w:val="21"/>
          <w:szCs w:val="21"/>
          <w:highlight w:val="none"/>
          <w:u w:val="single"/>
          <w:lang w:val="en-US" w:eastAsia="zh-CN"/>
        </w:rPr>
        <w:t xml:space="preserve">                                 </w:t>
      </w:r>
    </w:p>
    <w:p w14:paraId="7A4A6556">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银行</w:t>
      </w:r>
      <w:r>
        <w:rPr>
          <w:rFonts w:hint="eastAsia" w:asciiTheme="minorEastAsia" w:hAnsiTheme="minorEastAsia" w:eastAsiaTheme="minorEastAsia" w:cstheme="minorEastAsia"/>
          <w:color w:val="auto"/>
          <w:sz w:val="21"/>
          <w:szCs w:val="21"/>
          <w:highlight w:val="none"/>
        </w:rPr>
        <w:t>账号：</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lang w:val="en-US" w:eastAsia="zh-CN"/>
        </w:rPr>
        <w:t xml:space="preserve">                                </w:t>
      </w:r>
    </w:p>
    <w:p w14:paraId="6B1CAAF4">
      <w:pPr>
        <w:spacing w:line="360" w:lineRule="auto"/>
        <w:rPr>
          <w:rFonts w:hint="default" w:ascii="宋体" w:hAnsi="宋体" w:eastAsia="宋体" w:cs="宋体"/>
          <w:b/>
          <w:color w:val="auto"/>
          <w:sz w:val="21"/>
          <w:szCs w:val="21"/>
          <w:highlight w:val="none"/>
          <w:lang w:val="en-US" w:eastAsia="zh-CN"/>
        </w:rPr>
      </w:pPr>
      <w:r>
        <w:rPr>
          <w:rFonts w:hint="eastAsia" w:asciiTheme="minorEastAsia" w:hAnsiTheme="minorEastAsia" w:eastAsiaTheme="minorEastAsia" w:cstheme="minorEastAsia"/>
          <w:b/>
          <w:bCs/>
          <w:color w:val="auto"/>
          <w:kern w:val="2"/>
          <w:sz w:val="21"/>
          <w:szCs w:val="21"/>
          <w:highlight w:val="none"/>
          <w:lang w:val="en-US" w:eastAsia="zh-CN" w:bidi="ar-SA"/>
        </w:rPr>
        <w:t xml:space="preserve">第五条  </w:t>
      </w:r>
      <w:r>
        <w:rPr>
          <w:rFonts w:hint="eastAsia" w:ascii="宋体" w:hAnsi="宋体" w:eastAsia="宋体" w:cs="宋体"/>
          <w:b/>
          <w:color w:val="auto"/>
          <w:sz w:val="21"/>
          <w:szCs w:val="21"/>
          <w:highlight w:val="none"/>
        </w:rPr>
        <w:t>合同</w:t>
      </w:r>
      <w:r>
        <w:rPr>
          <w:rFonts w:hint="eastAsia" w:ascii="宋体" w:hAnsi="宋体" w:eastAsia="宋体" w:cs="宋体"/>
          <w:b/>
          <w:color w:val="auto"/>
          <w:sz w:val="21"/>
          <w:szCs w:val="21"/>
          <w:highlight w:val="none"/>
          <w:lang w:val="en-US" w:eastAsia="zh-CN"/>
        </w:rPr>
        <w:t>服务期</w:t>
      </w:r>
    </w:p>
    <w:p w14:paraId="0618DE89">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合同</w:t>
      </w:r>
      <w:r>
        <w:rPr>
          <w:rFonts w:hint="eastAsia" w:asciiTheme="minorEastAsia" w:hAnsiTheme="minorEastAsia" w:eastAsiaTheme="minorEastAsia" w:cstheme="minorEastAsia"/>
          <w:color w:val="auto"/>
          <w:sz w:val="21"/>
          <w:szCs w:val="21"/>
          <w:highlight w:val="none"/>
          <w:lang w:val="en-US" w:eastAsia="zh-CN"/>
        </w:rPr>
        <w:t>服务期：</w:t>
      </w:r>
      <w:r>
        <w:rPr>
          <w:rFonts w:hint="eastAsia" w:asciiTheme="minorEastAsia" w:hAnsiTheme="minorEastAsia" w:eastAsiaTheme="minorEastAsia" w:cstheme="minorEastAsia"/>
          <w:color w:val="auto"/>
          <w:sz w:val="21"/>
          <w:szCs w:val="21"/>
          <w:highlight w:val="none"/>
        </w:rPr>
        <w:t>项目合同签订之日起至项目相关报告</w:t>
      </w:r>
      <w:r>
        <w:rPr>
          <w:rFonts w:hint="eastAsia" w:asciiTheme="minorEastAsia" w:hAnsiTheme="minorEastAsia" w:eastAsiaTheme="minorEastAsia" w:cstheme="minorEastAsia"/>
          <w:color w:val="auto"/>
          <w:sz w:val="21"/>
          <w:szCs w:val="21"/>
          <w:highlight w:val="none"/>
          <w:lang w:val="en-US" w:eastAsia="zh-CN"/>
        </w:rPr>
        <w:t>提交甲方</w:t>
      </w:r>
      <w:r>
        <w:rPr>
          <w:rFonts w:hint="eastAsia" w:asciiTheme="minorEastAsia" w:hAnsiTheme="minorEastAsia" w:eastAsiaTheme="minorEastAsia" w:cstheme="minorEastAsia"/>
          <w:color w:val="auto"/>
          <w:sz w:val="21"/>
          <w:szCs w:val="21"/>
          <w:highlight w:val="none"/>
        </w:rPr>
        <w:t>并由</w:t>
      </w:r>
      <w:r>
        <w:rPr>
          <w:rFonts w:hint="eastAsia" w:asciiTheme="minorEastAsia" w:hAnsiTheme="minorEastAsia" w:eastAsiaTheme="minorEastAsia" w:cstheme="minorEastAsia"/>
          <w:color w:val="auto"/>
          <w:sz w:val="21"/>
          <w:szCs w:val="21"/>
          <w:highlight w:val="none"/>
          <w:lang w:val="en-US" w:eastAsia="zh-CN"/>
        </w:rPr>
        <w:t>甲方</w:t>
      </w:r>
      <w:r>
        <w:rPr>
          <w:rFonts w:hint="eastAsia" w:asciiTheme="minorEastAsia" w:hAnsiTheme="minorEastAsia" w:eastAsiaTheme="minorEastAsia" w:cstheme="minorEastAsia"/>
          <w:color w:val="auto"/>
          <w:sz w:val="21"/>
          <w:szCs w:val="21"/>
          <w:highlight w:val="none"/>
        </w:rPr>
        <w:t>确认无误时止。</w:t>
      </w:r>
    </w:p>
    <w:p w14:paraId="7E72112B">
      <w:pPr>
        <w:numPr>
          <w:ilvl w:val="255"/>
          <w:numId w:val="0"/>
        </w:numPr>
        <w:spacing w:line="360" w:lineRule="auto"/>
        <w:ind w:firstLine="420" w:firstLineChars="200"/>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2.相关报告提交期限：依据本合同的有关规定，在甲方资料提供齐全后10个工作日提交相关报告初稿。相关报告初稿经甲方确认后10个工作日提交相关报告定稿。</w:t>
      </w:r>
    </w:p>
    <w:p w14:paraId="660E0712">
      <w:pPr>
        <w:numPr>
          <w:ilvl w:val="255"/>
          <w:numId w:val="0"/>
        </w:numPr>
        <w:spacing w:line="360" w:lineRule="auto"/>
        <w:ind w:firstLine="420" w:firstLineChars="200"/>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3.相关报告提交方式：乙方按约定以快递/送达甲方住所的方式向甲方提交正式报告书一式五份。</w:t>
      </w:r>
    </w:p>
    <w:p w14:paraId="4C17F8E8">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第六条  甲方的权利与义务</w:t>
      </w:r>
    </w:p>
    <w:p w14:paraId="1FCBE335">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执行本项目</w:t>
      </w:r>
      <w:r>
        <w:rPr>
          <w:rFonts w:hint="eastAsia" w:asciiTheme="minorEastAsia" w:hAnsiTheme="minorEastAsia" w:eastAsiaTheme="minorEastAsia" w:cstheme="minorEastAsia"/>
          <w:color w:val="auto"/>
          <w:sz w:val="21"/>
          <w:szCs w:val="21"/>
          <w:highlight w:val="none"/>
          <w:lang w:eastAsia="zh-CN"/>
        </w:rPr>
        <w:t>谈判</w:t>
      </w:r>
      <w:r>
        <w:rPr>
          <w:rFonts w:hint="eastAsia" w:asciiTheme="minorEastAsia" w:hAnsiTheme="minorEastAsia" w:eastAsiaTheme="minorEastAsia" w:cstheme="minorEastAsia"/>
          <w:color w:val="auto"/>
          <w:sz w:val="21"/>
          <w:szCs w:val="21"/>
          <w:highlight w:val="none"/>
        </w:rPr>
        <w:t>文件及技术方案关于项目计划、职责、管理要求等规定内容。</w:t>
      </w:r>
    </w:p>
    <w:p w14:paraId="10E612EC">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(一)甲方权利</w:t>
      </w:r>
    </w:p>
    <w:p w14:paraId="4E195DCC">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1.甲方有权在项目实施过程中对乙方的进度执行情况进行监督、检查和指导。有权要求乙方提交工作</w:t>
      </w:r>
      <w:r>
        <w:rPr>
          <w:rFonts w:hint="eastAsia" w:asciiTheme="minorEastAsia" w:hAnsiTheme="minorEastAsia" w:eastAsiaTheme="minorEastAsia" w:cstheme="minorEastAsia"/>
          <w:color w:val="auto"/>
          <w:sz w:val="21"/>
          <w:szCs w:val="21"/>
          <w:highlight w:val="none"/>
          <w:lang w:val="en-US" w:eastAsia="zh-CN"/>
        </w:rPr>
        <w:t>报告</w:t>
      </w:r>
      <w:r>
        <w:rPr>
          <w:rFonts w:hint="eastAsia" w:asciiTheme="minorEastAsia" w:hAnsiTheme="minorEastAsia" w:eastAsiaTheme="minorEastAsia" w:cstheme="minorEastAsia"/>
          <w:color w:val="auto"/>
          <w:sz w:val="21"/>
          <w:szCs w:val="21"/>
          <w:highlight w:val="none"/>
        </w:rPr>
        <w:t>。</w:t>
      </w:r>
    </w:p>
    <w:p w14:paraId="31FCE7C2">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 当甲方发现乙方人员不按合同及采购需求书约定履行职责，甲方有权要求乙方更换项目人员，直到终止合同并要求乙方承担相应的赔偿责任。</w:t>
      </w:r>
    </w:p>
    <w:p w14:paraId="448317B2">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3.本合同成果的知识产权含著作权、申请专利权和专利权及所有权等权利归甲方所有。</w:t>
      </w:r>
    </w:p>
    <w:p w14:paraId="0C27D970">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(二)甲方义务</w:t>
      </w:r>
    </w:p>
    <w:p w14:paraId="31F7D98D">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1.甲方派出业务人员配合乙方完成采购需求书所规定的内容及成果。</w:t>
      </w:r>
    </w:p>
    <w:p w14:paraId="3BC9A293">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 甲方授权</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rPr>
        <w:t>作为联系代表，负责与乙方联系。若更换联系代表，应当提前通知乙方。</w:t>
      </w:r>
    </w:p>
    <w:p w14:paraId="75288C65">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 甲方按本合同约定支付合同款。</w:t>
      </w:r>
    </w:p>
    <w:p w14:paraId="7033FCB2">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 组织项目成果的审查和验收。</w:t>
      </w:r>
    </w:p>
    <w:p w14:paraId="5720834A">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第七条  乙方的权利与义务</w:t>
      </w:r>
    </w:p>
    <w:p w14:paraId="464F7FDF">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(一)乙方权利</w:t>
      </w:r>
    </w:p>
    <w:p w14:paraId="46682B5F">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1.乙方有权按本合同约定获得合同款。</w:t>
      </w:r>
    </w:p>
    <w:p w14:paraId="54EA00C8">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2.乙方有权对项目实施工作中出现的管理和协调问题提出具体的意见和解决建议。</w:t>
      </w:r>
    </w:p>
    <w:p w14:paraId="6D8DF7D0">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 甲方授权乙方行使的其他职权。</w:t>
      </w:r>
    </w:p>
    <w:p w14:paraId="79A3702E">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 本合同成果的知识产权归甲方所有。经甲方同意乙方有权使用。</w:t>
      </w:r>
    </w:p>
    <w:p w14:paraId="3E737D56">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(二)乙方义务</w:t>
      </w:r>
    </w:p>
    <w:p w14:paraId="53E644F2">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乙方应按相关文件要求投入合格的、充足的人员进行项目工作，提供所承担本合同工作的全部作业环境，包括设备、工具、交通及伙食等。</w:t>
      </w:r>
    </w:p>
    <w:p w14:paraId="655A33C4">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2.乙方委派的项目人员，必须能够适应合同及项目采购需求书规定的工作。</w:t>
      </w:r>
    </w:p>
    <w:p w14:paraId="438B1694">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3.在本合同期内，乙方必须在按相关文件承诺投入相关专业人员。</w:t>
      </w:r>
    </w:p>
    <w:p w14:paraId="249A1367">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乙方保持人员的稳定，不得随意调换，确有原因乙方调换项目成员，须以书面形式的要求更换不能按照合同规定履行工作的人员，并经甲方同意后方可调换。即使甲方要求或同意更换的人员，其代替人员应具有同等或更高级的资质并得到甲方的认可。由于更换人员引起的费用由乙方承担。</w:t>
      </w:r>
    </w:p>
    <w:p w14:paraId="3368DD72">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5.负责收集、整理项目管理所需全部档案、资料，适时提供给甲方。</w:t>
      </w:r>
    </w:p>
    <w:p w14:paraId="7AA7B3D8">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6.与本项目有关的所有上级单位的审计工作，乙方单位必须无条件配合。</w:t>
      </w:r>
    </w:p>
    <w:p w14:paraId="1F8BC1C7">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乙方保证充足的人员完成本合同规定的工作及按时发放相关人员的法定工资和福利待遇，严格落实安全生产相关法律法规要求，包括但不限于要求特种作业人员持证上岗、开展安全生产培训、佩戴个人防护装备、遵循相关安全操作规程等等。同时，乙方必须给本项目的施工人员购买意外险。因履行本合同过程中发生的工伤事故、劳动纠纷、安全事故以及其它可能涉及的法律纠纷（例如森林火灾事故等）均由乙方负责解决、承担全部费用和责任，如给第三人或甲方造成损害的，均由乙方承担赔偿责任。</w:t>
      </w:r>
    </w:p>
    <w:p w14:paraId="68D62DEF">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8.乙方应按照甲方的整改要求进行整改并及时更换项目人员。</w:t>
      </w:r>
    </w:p>
    <w:p w14:paraId="0172F4BE">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9.乙方有义务保证项目数据的准确性、有效性、真实性和可追溯。</w:t>
      </w:r>
    </w:p>
    <w:p w14:paraId="51307B3B">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10. 乙方不得向他人转让合同服务内容，也不得将合同服务内容支解后分别向他人转让。</w:t>
      </w:r>
    </w:p>
    <w:p w14:paraId="063D0A22">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11、乙方保证合同项下提供的设备不侵犯任何第三方的专利、商标或版权。否则，乙方须承担对第三方的专利或版权的侵权责任并承担因此而发生的所有费用。</w:t>
      </w:r>
    </w:p>
    <w:p w14:paraId="5536086B">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第八条  甲方违约责任</w:t>
      </w:r>
    </w:p>
    <w:p w14:paraId="046ED72F">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本合同项下甲方要求乙方支付违约金和损失的，有权同时要求乙方支付各种直接和预</w:t>
      </w:r>
    </w:p>
    <w:p w14:paraId="77478C69">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期利益的损失的，有权同时要求乙方支付诉讼费、律师费、公证费、公告费、差旅费等实现债权的全部费用。</w:t>
      </w:r>
    </w:p>
    <w:p w14:paraId="1CCFF94B">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第九条  乙方违约责任</w:t>
      </w:r>
    </w:p>
    <w:p w14:paraId="6C24BDC8">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1.合同签订后，如乙方无法定或约定理由擅自中途停止或解除合同，乙方</w:t>
      </w:r>
      <w:r>
        <w:rPr>
          <w:rFonts w:hint="eastAsia" w:asciiTheme="minorEastAsia" w:hAnsiTheme="minorEastAsia" w:eastAsiaTheme="minorEastAsia" w:cstheme="minorEastAsia"/>
          <w:color w:val="auto"/>
          <w:sz w:val="21"/>
          <w:szCs w:val="21"/>
          <w:highlight w:val="none"/>
          <w:lang w:val="en-US" w:eastAsia="zh-CN"/>
        </w:rPr>
        <w:t>应退还甲方已支付款项，并</w:t>
      </w:r>
      <w:r>
        <w:rPr>
          <w:rFonts w:hint="eastAsia" w:asciiTheme="minorEastAsia" w:hAnsiTheme="minorEastAsia" w:eastAsiaTheme="minorEastAsia" w:cstheme="minorEastAsia"/>
          <w:color w:val="auto"/>
          <w:sz w:val="21"/>
          <w:szCs w:val="21"/>
          <w:highlight w:val="none"/>
        </w:rPr>
        <w:t>向</w:t>
      </w:r>
      <w:r>
        <w:rPr>
          <w:rFonts w:hint="eastAsia" w:asciiTheme="minorEastAsia" w:hAnsiTheme="minorEastAsia" w:eastAsiaTheme="minorEastAsia" w:cstheme="minorEastAsia"/>
          <w:color w:val="auto"/>
          <w:sz w:val="21"/>
          <w:szCs w:val="21"/>
          <w:highlight w:val="none"/>
          <w:lang w:val="en-US" w:eastAsia="zh-CN"/>
        </w:rPr>
        <w:t>甲</w:t>
      </w:r>
      <w:r>
        <w:rPr>
          <w:rFonts w:hint="eastAsia" w:asciiTheme="minorEastAsia" w:hAnsiTheme="minorEastAsia" w:eastAsiaTheme="minorEastAsia" w:cstheme="minorEastAsia"/>
          <w:color w:val="auto"/>
          <w:sz w:val="21"/>
          <w:szCs w:val="21"/>
          <w:highlight w:val="none"/>
        </w:rPr>
        <w:t>方</w:t>
      </w:r>
      <w:r>
        <w:rPr>
          <w:rFonts w:hint="eastAsia" w:asciiTheme="minorEastAsia" w:hAnsiTheme="minorEastAsia" w:eastAsiaTheme="minorEastAsia" w:cstheme="minorEastAsia"/>
          <w:color w:val="auto"/>
          <w:sz w:val="21"/>
          <w:szCs w:val="21"/>
          <w:highlight w:val="none"/>
          <w:lang w:val="en-US" w:eastAsia="zh-CN"/>
        </w:rPr>
        <w:t>支付</w:t>
      </w:r>
      <w:r>
        <w:rPr>
          <w:rFonts w:hint="eastAsia" w:asciiTheme="minorEastAsia" w:hAnsiTheme="minorEastAsia" w:eastAsiaTheme="minorEastAsia" w:cstheme="minorEastAsia"/>
          <w:color w:val="auto"/>
          <w:sz w:val="21"/>
          <w:szCs w:val="21"/>
          <w:highlight w:val="none"/>
        </w:rPr>
        <w:t>本合同技术服务费金额的</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0%</w:t>
      </w:r>
      <w:r>
        <w:rPr>
          <w:rFonts w:hint="eastAsia" w:asciiTheme="minorEastAsia" w:hAnsiTheme="minorEastAsia" w:eastAsiaTheme="minorEastAsia" w:cstheme="minorEastAsia"/>
          <w:color w:val="auto"/>
          <w:sz w:val="21"/>
          <w:szCs w:val="21"/>
          <w:highlight w:val="none"/>
          <w:lang w:val="en-US" w:eastAsia="zh-CN"/>
        </w:rPr>
        <w:t>作为违约金</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如甲方的实际损失超出违约金数额的，甲方还有权就超出部分损失向乙方主张赔偿责任。</w:t>
      </w:r>
    </w:p>
    <w:p w14:paraId="6D13073D">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2.如乙方未按合同要求提交书面反馈成果及交付审查成果的，每逾期1日，应按合同金额3‰的标准向</w:t>
      </w:r>
      <w:r>
        <w:rPr>
          <w:rFonts w:hint="eastAsia" w:asciiTheme="minorEastAsia" w:hAnsiTheme="minorEastAsia" w:eastAsiaTheme="minorEastAsia" w:cstheme="minorEastAsia"/>
          <w:color w:val="auto"/>
          <w:sz w:val="21"/>
          <w:szCs w:val="21"/>
          <w:highlight w:val="none"/>
          <w:lang w:val="en-US" w:eastAsia="zh-CN"/>
        </w:rPr>
        <w:t>甲</w:t>
      </w:r>
      <w:r>
        <w:rPr>
          <w:rFonts w:hint="eastAsia" w:asciiTheme="minorEastAsia" w:hAnsiTheme="minorEastAsia" w:eastAsiaTheme="minorEastAsia" w:cstheme="minorEastAsia"/>
          <w:color w:val="auto"/>
          <w:sz w:val="21"/>
          <w:szCs w:val="21"/>
          <w:highlight w:val="none"/>
        </w:rPr>
        <w:t>方支付违约金。</w:t>
      </w:r>
      <w:r>
        <w:rPr>
          <w:rFonts w:hint="eastAsia" w:asciiTheme="minorEastAsia" w:hAnsiTheme="minorEastAsia" w:eastAsiaTheme="minorEastAsia" w:cstheme="minorEastAsia"/>
          <w:color w:val="auto"/>
          <w:sz w:val="21"/>
          <w:szCs w:val="21"/>
          <w:highlight w:val="none"/>
          <w:lang w:val="en-US" w:eastAsia="zh-CN"/>
        </w:rPr>
        <w:t>逾期超过15天的，甲方有权单方解除本合同并要求乙方按</w:t>
      </w:r>
      <w:r>
        <w:rPr>
          <w:rFonts w:hint="eastAsia" w:asciiTheme="minorEastAsia" w:hAnsiTheme="minorEastAsia" w:eastAsiaTheme="minorEastAsia" w:cstheme="minorEastAsia"/>
          <w:color w:val="auto"/>
          <w:sz w:val="21"/>
          <w:szCs w:val="21"/>
          <w:highlight w:val="none"/>
        </w:rPr>
        <w:t>本合同技术服务费金额的</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0%</w:t>
      </w:r>
      <w:r>
        <w:rPr>
          <w:rFonts w:hint="eastAsia" w:asciiTheme="minorEastAsia" w:hAnsiTheme="minorEastAsia" w:eastAsiaTheme="minorEastAsia" w:cstheme="minorEastAsia"/>
          <w:color w:val="auto"/>
          <w:sz w:val="21"/>
          <w:szCs w:val="21"/>
          <w:highlight w:val="none"/>
          <w:lang w:val="en-US" w:eastAsia="zh-CN"/>
        </w:rPr>
        <w:t>支付违约金，如甲方的实际损失超出违约金数额的，甲方还有权就超出部分损失向乙方主张赔偿责任。</w:t>
      </w:r>
      <w:r>
        <w:rPr>
          <w:rFonts w:hint="eastAsia" w:asciiTheme="minorEastAsia" w:hAnsiTheme="minorEastAsia" w:eastAsiaTheme="minorEastAsia" w:cstheme="minorEastAsia"/>
          <w:color w:val="auto"/>
          <w:sz w:val="21"/>
          <w:szCs w:val="21"/>
          <w:highlight w:val="none"/>
        </w:rPr>
        <w:t>但因不可抗力或甲方原因造成的工程拖期，乙方不承担赔偿责任。</w:t>
      </w:r>
    </w:p>
    <w:p w14:paraId="2C3F0F21">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3.如因乙方的技术原因导致乙方提供审查成果不满足本合同约定的，乙方应负责无偿给予采取补救措施，以达到本合同约定的要求。</w:t>
      </w:r>
    </w:p>
    <w:p w14:paraId="4ED685D8">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4.对于甲方提供的技术资料以及属于甲方</w:t>
      </w:r>
      <w:r>
        <w:rPr>
          <w:rFonts w:hint="eastAsia" w:asciiTheme="minorEastAsia" w:hAnsiTheme="minorEastAsia" w:eastAsiaTheme="minorEastAsia" w:cstheme="minorEastAsia"/>
          <w:color w:val="auto"/>
          <w:sz w:val="21"/>
          <w:szCs w:val="21"/>
          <w:highlight w:val="none"/>
          <w:lang w:val="en-US" w:eastAsia="zh-CN"/>
        </w:rPr>
        <w:t>所</w:t>
      </w:r>
      <w:r>
        <w:rPr>
          <w:rFonts w:hint="eastAsia" w:asciiTheme="minorEastAsia" w:hAnsiTheme="minorEastAsia" w:eastAsiaTheme="minorEastAsia" w:cstheme="minorEastAsia"/>
          <w:color w:val="auto"/>
          <w:sz w:val="21"/>
          <w:szCs w:val="21"/>
          <w:highlight w:val="none"/>
        </w:rPr>
        <w:t>有的成果，乙方有保密义务，保密期限为永久，</w:t>
      </w:r>
      <w:r>
        <w:rPr>
          <w:rFonts w:hint="eastAsia" w:asciiTheme="minorEastAsia" w:hAnsiTheme="minorEastAsia" w:eastAsiaTheme="minorEastAsia" w:cstheme="minorEastAsia"/>
          <w:color w:val="auto"/>
          <w:sz w:val="21"/>
          <w:szCs w:val="21"/>
          <w:highlight w:val="none"/>
          <w:lang w:val="en-US" w:eastAsia="zh-CN"/>
        </w:rPr>
        <w:t>不因本合同的解除或终止而失效，乙方</w:t>
      </w:r>
      <w:r>
        <w:rPr>
          <w:rFonts w:hint="eastAsia" w:asciiTheme="minorEastAsia" w:hAnsiTheme="minorEastAsia" w:eastAsiaTheme="minorEastAsia" w:cstheme="minorEastAsia"/>
          <w:color w:val="auto"/>
          <w:sz w:val="21"/>
          <w:szCs w:val="21"/>
          <w:highlight w:val="none"/>
        </w:rPr>
        <w:t>不得向本合同以外的其他人转让或披露，否则，乙方向甲方按本合同金额的</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0%</w:t>
      </w:r>
      <w:r>
        <w:rPr>
          <w:rFonts w:hint="eastAsia" w:asciiTheme="minorEastAsia" w:hAnsiTheme="minorEastAsia" w:eastAsiaTheme="minorEastAsia" w:cstheme="minorEastAsia"/>
          <w:color w:val="auto"/>
          <w:sz w:val="21"/>
          <w:szCs w:val="21"/>
          <w:highlight w:val="none"/>
          <w:lang w:val="en-US" w:eastAsia="zh-CN"/>
        </w:rPr>
        <w:t>支付违约金，如甲方的实际损失超出违约金数额的，甲方还有权就超出部分损失向乙方主张赔偿责任。</w:t>
      </w:r>
    </w:p>
    <w:p w14:paraId="487A6ABD">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5、如乙方违约的，甲方除有权要求乙方承担违约责任外，还有权要求乙方支付维权成本，包括但不限于诉讼/仲裁费、调查取证费/公证费/鉴定费、律师费、保全费、担保费、差旅费等维权费用及其他合理费用。</w:t>
      </w:r>
    </w:p>
    <w:p w14:paraId="7268CE24">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6、因乙方原因所产生的违约金、赔偿或其他应付费用，甲方有权从乙方提供的履约担保金额或甲方应支付的合同价款中直接扣除。</w:t>
      </w:r>
    </w:p>
    <w:p w14:paraId="69B4A382">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第十条  知识产权</w:t>
      </w:r>
    </w:p>
    <w:p w14:paraId="673667D8">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1、</w:t>
      </w:r>
      <w:r>
        <w:rPr>
          <w:rFonts w:hint="eastAsia" w:asciiTheme="minorEastAsia" w:hAnsiTheme="minorEastAsia" w:eastAsiaTheme="minorEastAsia" w:cstheme="minorEastAsia"/>
          <w:color w:val="auto"/>
          <w:sz w:val="21"/>
          <w:szCs w:val="21"/>
          <w:highlight w:val="none"/>
        </w:rPr>
        <w:t>甲方提交给乙方使用的素材与资料，其知识产权仍归甲方所有。除为本合同目的而使用之外，乙方不得复制、使用及提供给第三方。</w:t>
      </w:r>
    </w:p>
    <w:p w14:paraId="2537F8B9">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2、</w:t>
      </w:r>
      <w:r>
        <w:rPr>
          <w:rFonts w:hint="eastAsia" w:asciiTheme="minorEastAsia" w:hAnsiTheme="minorEastAsia" w:eastAsiaTheme="minorEastAsia" w:cstheme="minorEastAsia"/>
          <w:color w:val="auto"/>
          <w:sz w:val="21"/>
          <w:szCs w:val="21"/>
          <w:highlight w:val="none"/>
        </w:rPr>
        <w:t>乙方向甲方提交的工作成果的全部知识产权均归甲方所有；甲方有权自行决定发表、修改、使用等，相关收益归甲方所有。</w:t>
      </w:r>
    </w:p>
    <w:p w14:paraId="2D802826">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3、</w:t>
      </w:r>
      <w:r>
        <w:rPr>
          <w:rFonts w:hint="eastAsia" w:asciiTheme="minorEastAsia" w:hAnsiTheme="minorEastAsia" w:eastAsiaTheme="minorEastAsia" w:cstheme="minorEastAsia"/>
          <w:color w:val="auto"/>
          <w:sz w:val="21"/>
          <w:szCs w:val="21"/>
          <w:highlight w:val="none"/>
        </w:rPr>
        <w:t>乙方保证向甲方交付的工作成果（包括但不限于工作成果所使用的素材）不侵犯第三方的知识产权等权利，保证甲方在使用该工作成果时免受第三方提出侵犯其任何专利权、著作权、商标权、商业秘密或其他知识产权的起诉及索赔。</w:t>
      </w:r>
    </w:p>
    <w:p w14:paraId="70F81A9D">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4、</w:t>
      </w:r>
      <w:r>
        <w:rPr>
          <w:rFonts w:hint="eastAsia" w:asciiTheme="minorEastAsia" w:hAnsiTheme="minorEastAsia" w:eastAsiaTheme="minorEastAsia" w:cstheme="minorEastAsia"/>
          <w:color w:val="auto"/>
          <w:sz w:val="21"/>
          <w:szCs w:val="21"/>
          <w:highlight w:val="none"/>
        </w:rPr>
        <w:t>对任何因乙方交付的工作成果侵犯第三方专利权、著作权、商标权、商业秘密或其他知识产权导致第三方向甲方主张权利的，甲方应及时通知乙方，乙方将自费就上述权利主张为甲方辩护，并承担因此导致的一切法律责任，包括但不限于法院最终判决的或和解达成的一切费用（包括但不限于损害赔偿金和律师费等费用）。若甲方受到此类索赔或起诉，并因此造成甲方的一切损失由乙方承担，甲方有权解除合同，同时乙方应向甲方支付合同总价10%的违约金。前述违约金不足以弥补甲方损失的，甲方有权继续追偿。</w:t>
      </w:r>
    </w:p>
    <w:p w14:paraId="378CF9B7">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第十一条  不可抗力</w:t>
      </w:r>
    </w:p>
    <w:p w14:paraId="7C8BECB9">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b w:val="0"/>
          <w:bCs w:val="0"/>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val="en-US" w:eastAsia="zh-Hans"/>
        </w:rPr>
        <w:t>不可抗力的确认</w:t>
      </w:r>
    </w:p>
    <w:p w14:paraId="1334B634">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不可抗力是指甲乙双方在订立合同时不可预见，在履行合同过程中不可避免发生并不能克服的自然灾害、政策的调整和社会性突发事件，如地震、海啸、瘟疫、水灾、骚乱、暴动、战争等。</w:t>
      </w:r>
    </w:p>
    <w:p w14:paraId="745716C1">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b w:val="0"/>
          <w:bCs w:val="0"/>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val="en-US" w:eastAsia="zh-Hans"/>
        </w:rPr>
        <w:t>不可抗力的通知</w:t>
      </w:r>
    </w:p>
    <w:p w14:paraId="293C87CD">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合同一方当事人遇到不可抗力事件，使其履行合同义务受到阻碍时，应立即通知合同另一方当事人，书面说明不可抗力和受阻碍的详细情况，并提供必要的证明。</w:t>
      </w:r>
    </w:p>
    <w:p w14:paraId="48858B30">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b w:val="0"/>
          <w:bCs w:val="0"/>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val="en-US" w:eastAsia="zh-Hans"/>
        </w:rPr>
        <w:t>不可抗力后果及其处理</w:t>
      </w:r>
    </w:p>
    <w:p w14:paraId="67A55B68">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（1）合同一方延迟履行，在延迟履行期间发生不可抗力的，不免除其责任。</w:t>
      </w:r>
    </w:p>
    <w:p w14:paraId="36E221E6">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（2）不可抗力发生后，合同双方均应采取措施尽量避免和减少损失的扩大，任何一方没有采取有效措施导致损失扩大的，应对扩大的损失承担责任。</w:t>
      </w:r>
    </w:p>
    <w:p w14:paraId="68AD5047">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Hans"/>
        </w:rPr>
        <w:t>（3）合同一方因不可抗力不能履行合同的，应当及时通知对方解除合同。双方根据乙方实际完成工作量据实结算合同费用。</w:t>
      </w:r>
    </w:p>
    <w:p w14:paraId="4617DCF6">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第十二条  争端的解决</w:t>
      </w:r>
    </w:p>
    <w:p w14:paraId="3A793475">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本合同发生争议，双方当事人应及时协商解决；经双方协商无法解决的争议，双方同意按照以下第</w:t>
      </w:r>
      <w:r>
        <w:rPr>
          <w:rFonts w:hint="eastAsia" w:asciiTheme="minorEastAsia" w:hAnsiTheme="minorEastAsia" w:eastAsiaTheme="minorEastAsia" w:cstheme="minorEastAsia"/>
          <w:color w:val="auto"/>
          <w:sz w:val="21"/>
          <w:szCs w:val="21"/>
          <w:highlight w:val="none"/>
          <w:u w:val="none"/>
          <w:lang w:val="en-US" w:eastAsia="zh-CN"/>
        </w:rPr>
        <w:t>（1）</w:t>
      </w:r>
      <w:r>
        <w:rPr>
          <w:rFonts w:hint="eastAsia" w:asciiTheme="minorEastAsia" w:hAnsiTheme="minorEastAsia" w:eastAsiaTheme="minorEastAsia" w:cstheme="minorEastAsia"/>
          <w:color w:val="auto"/>
          <w:sz w:val="21"/>
          <w:szCs w:val="21"/>
          <w:highlight w:val="none"/>
          <w:u w:val="none"/>
          <w:lang w:val="en-US" w:eastAsia="zh-Hans"/>
        </w:rPr>
        <w:t>种</w:t>
      </w:r>
      <w:r>
        <w:rPr>
          <w:rFonts w:hint="eastAsia" w:asciiTheme="minorEastAsia" w:hAnsiTheme="minorEastAsia" w:eastAsiaTheme="minorEastAsia" w:cstheme="minorEastAsia"/>
          <w:color w:val="auto"/>
          <w:sz w:val="21"/>
          <w:szCs w:val="21"/>
          <w:highlight w:val="none"/>
          <w:lang w:val="en-US" w:eastAsia="zh-Hans"/>
        </w:rPr>
        <w:t>方式解决：</w:t>
      </w:r>
    </w:p>
    <w:p w14:paraId="0A1A7C2A">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（1）凡因本合同引起的或与本合同有关的任何争议，均提交项目所在地有管辖权的人民法院裁决。</w:t>
      </w:r>
    </w:p>
    <w:p w14:paraId="527A0E25">
      <w:pPr>
        <w:numPr>
          <w:ilvl w:val="255"/>
          <w:numId w:val="0"/>
        </w:numPr>
        <w:spacing w:line="360" w:lineRule="auto"/>
        <w:ind w:firstLine="420" w:firstLineChars="200"/>
        <w:rPr>
          <w:rFonts w:hint="eastAsia" w:asciiTheme="minorEastAsia" w:hAnsiTheme="minorEastAsia" w:eastAsiaTheme="minorEastAsia" w:cstheme="minorEastAsia"/>
          <w:b w:val="0"/>
          <w:bCs w:val="0"/>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（2）凡因本合同引起的或与本合同有关的任何争议，双方同意提交【东莞】仲裁委员会进行仲裁。仲裁裁决是终局的，对双方均有约束力。</w:t>
      </w:r>
    </w:p>
    <w:p w14:paraId="25A3DDB8">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Hans" w:bidi="ar-SA"/>
        </w:rPr>
      </w:pPr>
      <w:r>
        <w:rPr>
          <w:rFonts w:hint="eastAsia" w:asciiTheme="minorEastAsia" w:hAnsiTheme="minorEastAsia" w:eastAsiaTheme="minorEastAsia" w:cstheme="minorEastAsia"/>
          <w:b/>
          <w:bCs/>
          <w:color w:val="auto"/>
          <w:kern w:val="2"/>
          <w:sz w:val="21"/>
          <w:szCs w:val="21"/>
          <w:highlight w:val="none"/>
          <w:lang w:val="en-US" w:eastAsia="zh-Hans" w:bidi="ar-SA"/>
        </w:rPr>
        <w:t>第十</w:t>
      </w:r>
      <w:r>
        <w:rPr>
          <w:rFonts w:hint="eastAsia" w:asciiTheme="minorEastAsia" w:hAnsiTheme="minorEastAsia" w:eastAsiaTheme="minorEastAsia" w:cstheme="minorEastAsia"/>
          <w:b/>
          <w:bCs/>
          <w:color w:val="auto"/>
          <w:kern w:val="2"/>
          <w:sz w:val="21"/>
          <w:szCs w:val="21"/>
          <w:highlight w:val="none"/>
          <w:lang w:val="en-US" w:eastAsia="zh-CN" w:bidi="ar-SA"/>
        </w:rPr>
        <w:t>三</w:t>
      </w:r>
      <w:r>
        <w:rPr>
          <w:rFonts w:hint="eastAsia" w:asciiTheme="minorEastAsia" w:hAnsiTheme="minorEastAsia" w:eastAsiaTheme="minorEastAsia" w:cstheme="minorEastAsia"/>
          <w:b/>
          <w:bCs/>
          <w:color w:val="auto"/>
          <w:kern w:val="2"/>
          <w:sz w:val="21"/>
          <w:szCs w:val="21"/>
          <w:highlight w:val="none"/>
          <w:lang w:val="en-US" w:eastAsia="zh-Hans" w:bidi="ar-SA"/>
        </w:rPr>
        <w:t>条 通知</w:t>
      </w:r>
    </w:p>
    <w:p w14:paraId="73F5F747">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双方各自指定履行本合同的联系人，一方资料、文件之交接及意见之传达、接收均通过联系人进行。</w:t>
      </w:r>
    </w:p>
    <w:p w14:paraId="33E94890">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 xml:space="preserve">甲方指定联系人：                                                           </w:t>
      </w:r>
    </w:p>
    <w:p w14:paraId="1F7A9B55">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姓    名：____________________</w:t>
      </w:r>
    </w:p>
    <w:p w14:paraId="5BD2EDD6">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联系电话：____________________</w:t>
      </w:r>
    </w:p>
    <w:p w14:paraId="56902546">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电子邮箱：____________________</w:t>
      </w:r>
    </w:p>
    <w:p w14:paraId="2C808B90">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 xml:space="preserve">通讯地址：____________________ </w:t>
      </w:r>
    </w:p>
    <w:p w14:paraId="23E3F02B">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CN"/>
        </w:rPr>
        <w:t>甲方单位咨询电话：</w:t>
      </w:r>
      <w:r>
        <w:rPr>
          <w:rFonts w:hint="eastAsia" w:asciiTheme="minorEastAsia" w:hAnsiTheme="minorEastAsia" w:eastAsiaTheme="minorEastAsia" w:cstheme="minorEastAsia"/>
          <w:color w:val="auto"/>
          <w:sz w:val="21"/>
          <w:szCs w:val="21"/>
          <w:highlight w:val="none"/>
          <w:lang w:val="en-US" w:eastAsia="zh-Hans"/>
        </w:rPr>
        <w:t xml:space="preserve">____________________ </w:t>
      </w:r>
    </w:p>
    <w:p w14:paraId="166E4C05">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 xml:space="preserve">乙方指定联系人：____________________                                               </w:t>
      </w:r>
    </w:p>
    <w:p w14:paraId="36684782">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Hans"/>
        </w:rPr>
        <w:t>姓    名：_______________</w:t>
      </w:r>
      <w:r>
        <w:rPr>
          <w:rFonts w:hint="eastAsia" w:asciiTheme="minorEastAsia" w:hAnsiTheme="minorEastAsia" w:eastAsiaTheme="minorEastAsia" w:cstheme="minorEastAsia"/>
          <w:color w:val="auto"/>
          <w:sz w:val="21"/>
          <w:szCs w:val="21"/>
          <w:highlight w:val="none"/>
          <w:lang w:val="en-US" w:eastAsia="zh-CN"/>
        </w:rPr>
        <w:t>_____</w:t>
      </w:r>
    </w:p>
    <w:p w14:paraId="60D61CA2">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联系电话：____________________</w:t>
      </w:r>
    </w:p>
    <w:p w14:paraId="48B8A42C">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电子邮箱：____________________</w:t>
      </w:r>
    </w:p>
    <w:p w14:paraId="580CFF1A">
      <w:pPr>
        <w:numPr>
          <w:ilvl w:val="255"/>
          <w:numId w:val="0"/>
        </w:numPr>
        <w:spacing w:line="360" w:lineRule="auto"/>
        <w:ind w:firstLine="420" w:firstLineChars="200"/>
        <w:rPr>
          <w:rFonts w:hint="eastAsia" w:asciiTheme="minorEastAsia" w:hAnsiTheme="minorEastAsia" w:eastAsiaTheme="minorEastAsia" w:cstheme="minorEastAsia"/>
          <w:b w:val="0"/>
          <w:bCs w:val="0"/>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通讯地址：_____________________</w:t>
      </w:r>
    </w:p>
    <w:p w14:paraId="5DC7A8F9">
      <w:pPr>
        <w:numPr>
          <w:ilvl w:val="255"/>
          <w:numId w:val="0"/>
        </w:numPr>
        <w:spacing w:line="360" w:lineRule="auto"/>
        <w:ind w:firstLine="0" w:firstLineChars="0"/>
        <w:rPr>
          <w:rFonts w:hint="eastAsia" w:asciiTheme="minorEastAsia" w:hAnsiTheme="minorEastAsia" w:eastAsiaTheme="minorEastAsia" w:cstheme="minorEastAsia"/>
          <w:b/>
          <w:bCs/>
          <w:color w:val="auto"/>
          <w:sz w:val="21"/>
          <w:szCs w:val="21"/>
          <w:highlight w:val="none"/>
          <w:lang w:val="en-US" w:eastAsia="zh-Hans"/>
        </w:rPr>
      </w:pPr>
      <w:r>
        <w:rPr>
          <w:rFonts w:hint="eastAsia" w:asciiTheme="minorEastAsia" w:hAnsiTheme="minorEastAsia" w:eastAsiaTheme="minorEastAsia" w:cstheme="minorEastAsia"/>
          <w:b/>
          <w:bCs/>
          <w:color w:val="auto"/>
          <w:sz w:val="21"/>
          <w:szCs w:val="21"/>
          <w:highlight w:val="none"/>
          <w:lang w:val="en-US" w:eastAsia="zh-Hans"/>
        </w:rPr>
        <w:t>第</w:t>
      </w:r>
      <w:r>
        <w:rPr>
          <w:rFonts w:hint="eastAsia" w:asciiTheme="minorEastAsia" w:hAnsiTheme="minorEastAsia" w:eastAsiaTheme="minorEastAsia" w:cstheme="minorEastAsia"/>
          <w:b/>
          <w:bCs/>
          <w:color w:val="auto"/>
          <w:sz w:val="21"/>
          <w:szCs w:val="21"/>
          <w:highlight w:val="none"/>
          <w:lang w:val="en-US" w:eastAsia="zh-CN"/>
        </w:rPr>
        <w:t>十四</w:t>
      </w:r>
      <w:r>
        <w:rPr>
          <w:rFonts w:hint="eastAsia" w:asciiTheme="minorEastAsia" w:hAnsiTheme="minorEastAsia" w:eastAsiaTheme="minorEastAsia" w:cstheme="minorEastAsia"/>
          <w:b/>
          <w:bCs/>
          <w:color w:val="auto"/>
          <w:sz w:val="21"/>
          <w:szCs w:val="21"/>
          <w:highlight w:val="none"/>
          <w:lang w:val="en-US" w:eastAsia="zh-Hans"/>
        </w:rPr>
        <w:t>条 其他</w:t>
      </w:r>
    </w:p>
    <w:p w14:paraId="70DAC38F">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val="en-US" w:eastAsia="zh-Hans"/>
        </w:rPr>
        <w:t xml:space="preserve"> 本合同正文与下列附件共同构成本合同双方协商达成一致的全部内容：</w:t>
      </w:r>
    </w:p>
    <w:p w14:paraId="00ACBEB9">
      <w:pPr>
        <w:numPr>
          <w:ilvl w:val="255"/>
          <w:numId w:val="0"/>
        </w:numPr>
        <w:spacing w:line="360" w:lineRule="auto"/>
        <w:ind w:firstLine="420" w:firstLineChars="200"/>
        <w:jc w:val="left"/>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附件1</w:t>
      </w:r>
      <w:r>
        <w:rPr>
          <w:rFonts w:hint="eastAsia" w:asciiTheme="minorEastAsia" w:hAnsiTheme="minorEastAsia" w:eastAsiaTheme="minorEastAsia" w:cstheme="minorEastAsia"/>
          <w:color w:val="auto"/>
          <w:sz w:val="21"/>
          <w:szCs w:val="21"/>
          <w:highlight w:val="none"/>
          <w:lang w:val="en-US" w:eastAsia="zh-CN"/>
        </w:rPr>
        <w:t>：阳光合作协议</w:t>
      </w:r>
    </w:p>
    <w:p w14:paraId="10D750E5">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附件2：</w:t>
      </w:r>
      <w:r>
        <w:rPr>
          <w:rFonts w:hint="eastAsia" w:asciiTheme="minorEastAsia" w:hAnsiTheme="minorEastAsia" w:eastAsiaTheme="minorEastAsia" w:cstheme="minorEastAsia"/>
          <w:color w:val="auto"/>
          <w:sz w:val="21"/>
          <w:szCs w:val="21"/>
          <w:highlight w:val="none"/>
        </w:rPr>
        <w:t>中标通知书</w:t>
      </w:r>
    </w:p>
    <w:p w14:paraId="61FA795C">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附件</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：响应文件</w:t>
      </w:r>
    </w:p>
    <w:p w14:paraId="740A9170">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附件</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：采购文件</w:t>
      </w:r>
    </w:p>
    <w:p w14:paraId="6AB3F145">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附件5：履约担保证明</w:t>
      </w:r>
    </w:p>
    <w:p w14:paraId="77B39238">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附件6：最终报价表</w:t>
      </w:r>
    </w:p>
    <w:p w14:paraId="1F9925C3">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val="en-US" w:eastAsia="zh-Hans"/>
        </w:rPr>
        <w:t xml:space="preserve"> 本合同未尽事宜，经双方平等友好协商一致，可签订补充协议。</w:t>
      </w:r>
    </w:p>
    <w:p w14:paraId="4E7B9A5E">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val="en-US" w:eastAsia="zh-Hans"/>
        </w:rPr>
        <w:t>本合同自双方有权代表签字、单位盖章后生效。</w:t>
      </w:r>
    </w:p>
    <w:p w14:paraId="1DF272E5">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lang w:val="en-US" w:eastAsia="zh-Hans"/>
        </w:rPr>
        <w:t>本合同一式【</w:t>
      </w:r>
      <w:r>
        <w:rPr>
          <w:rFonts w:hint="eastAsia" w:asciiTheme="minorEastAsia" w:hAnsiTheme="minorEastAsia" w:eastAsiaTheme="minorEastAsia" w:cstheme="minorEastAsia"/>
          <w:color w:val="auto"/>
          <w:sz w:val="21"/>
          <w:szCs w:val="21"/>
          <w:highlight w:val="none"/>
          <w:lang w:val="en-US" w:eastAsia="zh-CN"/>
        </w:rPr>
        <w:t xml:space="preserve"> 肆 </w:t>
      </w:r>
      <w:r>
        <w:rPr>
          <w:rFonts w:hint="eastAsia" w:asciiTheme="minorEastAsia" w:hAnsiTheme="minorEastAsia" w:eastAsiaTheme="minorEastAsia" w:cstheme="minorEastAsia"/>
          <w:color w:val="auto"/>
          <w:sz w:val="21"/>
          <w:szCs w:val="21"/>
          <w:highlight w:val="none"/>
          <w:lang w:val="en-US" w:eastAsia="zh-Hans"/>
        </w:rPr>
        <w:t>】份，甲方执【</w:t>
      </w:r>
      <w:r>
        <w:rPr>
          <w:rFonts w:hint="eastAsia" w:asciiTheme="minorEastAsia" w:hAnsiTheme="minorEastAsia" w:eastAsiaTheme="minorEastAsia" w:cstheme="minorEastAsia"/>
          <w:color w:val="auto"/>
          <w:sz w:val="21"/>
          <w:szCs w:val="21"/>
          <w:highlight w:val="none"/>
          <w:lang w:val="en-US" w:eastAsia="zh-CN"/>
        </w:rPr>
        <w:t xml:space="preserve"> 贰 </w:t>
      </w:r>
      <w:r>
        <w:rPr>
          <w:rFonts w:hint="eastAsia" w:asciiTheme="minorEastAsia" w:hAnsiTheme="minorEastAsia" w:eastAsiaTheme="minorEastAsia" w:cstheme="minorEastAsia"/>
          <w:color w:val="auto"/>
          <w:sz w:val="21"/>
          <w:szCs w:val="21"/>
          <w:highlight w:val="none"/>
          <w:lang w:val="en-US" w:eastAsia="zh-Hans"/>
        </w:rPr>
        <w:t xml:space="preserve">】份，乙方执【 </w:t>
      </w:r>
      <w:r>
        <w:rPr>
          <w:rFonts w:hint="eastAsia" w:asciiTheme="minorEastAsia" w:hAnsiTheme="minorEastAsia" w:eastAsiaTheme="minorEastAsia" w:cstheme="minorEastAsia"/>
          <w:color w:val="auto"/>
          <w:sz w:val="21"/>
          <w:szCs w:val="21"/>
          <w:highlight w:val="none"/>
          <w:lang w:val="en-US" w:eastAsia="zh-CN"/>
        </w:rPr>
        <w:t>贰</w:t>
      </w:r>
      <w:r>
        <w:rPr>
          <w:rFonts w:hint="eastAsia" w:asciiTheme="minorEastAsia" w:hAnsiTheme="minorEastAsia" w:eastAsiaTheme="minorEastAsia" w:cstheme="minorEastAsia"/>
          <w:color w:val="auto"/>
          <w:sz w:val="21"/>
          <w:szCs w:val="21"/>
          <w:highlight w:val="none"/>
          <w:lang w:val="en-US" w:eastAsia="zh-Hans"/>
        </w:rPr>
        <w:t xml:space="preserve">  】份，各份具有同等法律效力。</w:t>
      </w:r>
    </w:p>
    <w:p w14:paraId="552A9AF0">
      <w:pPr>
        <w:spacing w:line="360" w:lineRule="auto"/>
        <w:ind w:firstLine="0" w:firstLineChars="0"/>
        <w:jc w:val="left"/>
        <w:rPr>
          <w:rFonts w:hint="eastAsia" w:asciiTheme="minorEastAsia" w:hAnsiTheme="minorEastAsia" w:eastAsiaTheme="minorEastAsia" w:cstheme="minorEastAsia"/>
          <w:color w:val="auto"/>
          <w:sz w:val="21"/>
          <w:szCs w:val="21"/>
          <w:highlight w:val="none"/>
        </w:rPr>
      </w:pPr>
    </w:p>
    <w:p w14:paraId="4035F96F">
      <w:pPr>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（以下无正文，为签章内容）</w:t>
      </w:r>
    </w:p>
    <w:tbl>
      <w:tblPr>
        <w:tblStyle w:val="38"/>
        <w:tblpPr w:leftFromText="180" w:rightFromText="180" w:vertAnchor="text" w:horzAnchor="page" w:tblpX="1740" w:tblpY="119"/>
        <w:tblW w:w="8522" w:type="dxa"/>
        <w:tblInd w:w="0" w:type="dxa"/>
        <w:tblLayout w:type="fixed"/>
        <w:tblCellMar>
          <w:top w:w="0" w:type="dxa"/>
          <w:left w:w="108" w:type="dxa"/>
          <w:bottom w:w="0" w:type="dxa"/>
          <w:right w:w="108" w:type="dxa"/>
        </w:tblCellMar>
      </w:tblPr>
      <w:tblGrid>
        <w:gridCol w:w="4326"/>
        <w:gridCol w:w="4196"/>
      </w:tblGrid>
      <w:tr w14:paraId="3C9D8C0F">
        <w:tblPrEx>
          <w:tblCellMar>
            <w:top w:w="0" w:type="dxa"/>
            <w:left w:w="108" w:type="dxa"/>
            <w:bottom w:w="0" w:type="dxa"/>
            <w:right w:w="108" w:type="dxa"/>
          </w:tblCellMar>
        </w:tblPrEx>
        <w:trPr>
          <w:trHeight w:val="2208" w:hRule="atLeast"/>
        </w:trPr>
        <w:tc>
          <w:tcPr>
            <w:tcW w:w="4326" w:type="dxa"/>
            <w:noWrap w:val="0"/>
            <w:vAlign w:val="top"/>
          </w:tcPr>
          <w:p w14:paraId="2031C83E">
            <w:pPr>
              <w:pStyle w:val="112"/>
              <w:spacing w:after="50" w:line="360" w:lineRule="auto"/>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甲方：（公章）</w:t>
            </w:r>
          </w:p>
          <w:p w14:paraId="35CABF13">
            <w:pPr>
              <w:pStyle w:val="112"/>
              <w:spacing w:after="50" w:line="360" w:lineRule="auto"/>
              <w:rPr>
                <w:rFonts w:hint="eastAsia" w:ascii="宋体" w:hAnsi="宋体" w:eastAsia="宋体" w:cs="宋体"/>
                <w:color w:val="auto"/>
                <w:sz w:val="21"/>
                <w:szCs w:val="21"/>
                <w:highlight w:val="none"/>
                <w:u w:val="none"/>
              </w:rPr>
            </w:pPr>
            <w:r>
              <w:rPr>
                <w:rFonts w:hint="eastAsia" w:asciiTheme="minorEastAsia" w:hAnsiTheme="minorEastAsia" w:eastAsiaTheme="minorEastAsia" w:cstheme="minorEastAsia"/>
                <w:color w:val="auto"/>
                <w:sz w:val="21"/>
                <w:szCs w:val="21"/>
                <w:highlight w:val="none"/>
                <w:u w:val="single"/>
                <w:lang w:val="en-US" w:eastAsia="zh-CN"/>
              </w:rPr>
              <w:t>广东新网工程技术有限公司</w:t>
            </w:r>
          </w:p>
        </w:tc>
        <w:tc>
          <w:tcPr>
            <w:tcW w:w="4196" w:type="dxa"/>
            <w:noWrap w:val="0"/>
            <w:vAlign w:val="top"/>
          </w:tcPr>
          <w:p w14:paraId="0610E71C">
            <w:pPr>
              <w:pStyle w:val="112"/>
              <w:spacing w:after="50" w:line="360" w:lineRule="auto"/>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乙方：（公章）</w:t>
            </w:r>
          </w:p>
          <w:p w14:paraId="342E858D">
            <w:pPr>
              <w:pStyle w:val="112"/>
              <w:spacing w:after="50" w:line="360" w:lineRule="auto"/>
              <w:rPr>
                <w:rFonts w:hint="default" w:ascii="宋体" w:hAnsi="宋体" w:eastAsia="宋体" w:cs="宋体"/>
                <w:color w:val="auto"/>
                <w:sz w:val="21"/>
                <w:szCs w:val="21"/>
                <w:highlight w:val="none"/>
                <w:u w:val="none"/>
                <w:lang w:val="en-US" w:eastAsia="zh-CN"/>
              </w:rPr>
            </w:pPr>
            <w:r>
              <w:rPr>
                <w:rFonts w:hint="eastAsia" w:hAnsi="宋体" w:cs="宋体"/>
                <w:color w:val="auto"/>
                <w:sz w:val="21"/>
                <w:szCs w:val="21"/>
                <w:highlight w:val="none"/>
                <w:u w:val="none"/>
                <w:lang w:val="en-US" w:eastAsia="zh-CN"/>
              </w:rPr>
              <w:t xml:space="preserve">                              </w:t>
            </w:r>
          </w:p>
        </w:tc>
      </w:tr>
      <w:tr w14:paraId="1E590394">
        <w:tblPrEx>
          <w:tblCellMar>
            <w:top w:w="0" w:type="dxa"/>
            <w:left w:w="108" w:type="dxa"/>
            <w:bottom w:w="0" w:type="dxa"/>
            <w:right w:w="108" w:type="dxa"/>
          </w:tblCellMar>
        </w:tblPrEx>
        <w:trPr>
          <w:trHeight w:val="1580" w:hRule="atLeast"/>
        </w:trPr>
        <w:tc>
          <w:tcPr>
            <w:tcW w:w="4326" w:type="dxa"/>
            <w:noWrap w:val="0"/>
            <w:vAlign w:val="top"/>
          </w:tcPr>
          <w:p w14:paraId="3391C440">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法定代表人（或授权代表）：（签字）</w:t>
            </w:r>
          </w:p>
          <w:p w14:paraId="2C048CA5">
            <w:pPr>
              <w:pStyle w:val="112"/>
              <w:spacing w:after="50" w:line="360" w:lineRule="auto"/>
              <w:rPr>
                <w:rFonts w:hint="eastAsia" w:ascii="宋体" w:hAnsi="宋体" w:eastAsia="宋体" w:cs="宋体"/>
                <w:color w:val="auto"/>
                <w:sz w:val="21"/>
                <w:szCs w:val="21"/>
                <w:highlight w:val="none"/>
              </w:rPr>
            </w:pPr>
          </w:p>
        </w:tc>
        <w:tc>
          <w:tcPr>
            <w:tcW w:w="4196" w:type="dxa"/>
            <w:noWrap w:val="0"/>
            <w:vAlign w:val="top"/>
          </w:tcPr>
          <w:p w14:paraId="2A7D3BE4">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法定代表人（或授权代表）：（签字）</w:t>
            </w:r>
          </w:p>
          <w:p w14:paraId="1E18F6EF">
            <w:pPr>
              <w:pStyle w:val="112"/>
              <w:spacing w:after="50" w:line="360" w:lineRule="auto"/>
              <w:rPr>
                <w:rFonts w:hint="eastAsia" w:ascii="宋体" w:hAnsi="宋体" w:eastAsia="宋体" w:cs="宋体"/>
                <w:color w:val="auto"/>
                <w:sz w:val="21"/>
                <w:szCs w:val="21"/>
                <w:highlight w:val="none"/>
              </w:rPr>
            </w:pPr>
          </w:p>
          <w:p w14:paraId="02B05ED2">
            <w:pPr>
              <w:pStyle w:val="112"/>
              <w:spacing w:after="50" w:line="360" w:lineRule="auto"/>
              <w:rPr>
                <w:rFonts w:hint="eastAsia" w:ascii="宋体" w:hAnsi="宋体" w:eastAsia="宋体" w:cs="宋体"/>
                <w:color w:val="auto"/>
                <w:sz w:val="21"/>
                <w:szCs w:val="21"/>
                <w:highlight w:val="none"/>
              </w:rPr>
            </w:pPr>
          </w:p>
        </w:tc>
      </w:tr>
      <w:tr w14:paraId="0BF24F9D">
        <w:tblPrEx>
          <w:tblCellMar>
            <w:top w:w="0" w:type="dxa"/>
            <w:left w:w="108" w:type="dxa"/>
            <w:bottom w:w="0" w:type="dxa"/>
            <w:right w:w="108" w:type="dxa"/>
          </w:tblCellMar>
        </w:tblPrEx>
        <w:tc>
          <w:tcPr>
            <w:tcW w:w="4326" w:type="dxa"/>
            <w:noWrap w:val="0"/>
            <w:vAlign w:val="top"/>
          </w:tcPr>
          <w:p w14:paraId="6FAC848C">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统一社会信用代码：</w:t>
            </w:r>
          </w:p>
          <w:p w14:paraId="4062BDA0">
            <w:pPr>
              <w:pStyle w:val="112"/>
              <w:spacing w:after="50" w:line="360" w:lineRule="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 xml:space="preserve">                 </w:t>
            </w:r>
          </w:p>
          <w:p w14:paraId="09411E4D">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kern w:val="0"/>
                <w:sz w:val="21"/>
                <w:szCs w:val="21"/>
                <w:highlight w:val="none"/>
                <w:u w:val="single"/>
              </w:rPr>
              <w:t xml:space="preserve">                  </w:t>
            </w:r>
          </w:p>
          <w:p w14:paraId="656CB7BF">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p>
          <w:p w14:paraId="19D805A7">
            <w:pPr>
              <w:pStyle w:val="112"/>
              <w:spacing w:after="50"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p>
          <w:p w14:paraId="700F338B">
            <w:pPr>
              <w:pStyle w:val="112"/>
              <w:spacing w:after="50"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委托代理人：</w:t>
            </w:r>
            <w:r>
              <w:rPr>
                <w:rFonts w:hint="eastAsia" w:ascii="宋体" w:hAnsi="宋体" w:eastAsia="宋体" w:cs="宋体"/>
                <w:color w:val="auto"/>
                <w:kern w:val="0"/>
                <w:sz w:val="21"/>
                <w:szCs w:val="21"/>
                <w:highlight w:val="none"/>
                <w:u w:val="single"/>
              </w:rPr>
              <w:t>/</w:t>
            </w:r>
          </w:p>
          <w:p w14:paraId="34970252">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u w:val="single"/>
              </w:rPr>
              <w:t xml:space="preserve">            </w:t>
            </w:r>
          </w:p>
          <w:p w14:paraId="56C004E4">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p>
          <w:p w14:paraId="23F6F8AE">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账号：</w:t>
            </w:r>
            <w:r>
              <w:rPr>
                <w:rFonts w:hint="eastAsia" w:ascii="宋体" w:hAnsi="宋体" w:eastAsia="宋体" w:cs="宋体"/>
                <w:color w:val="auto"/>
                <w:sz w:val="21"/>
                <w:szCs w:val="21"/>
                <w:highlight w:val="none"/>
                <w:u w:val="single"/>
              </w:rPr>
              <w:t xml:space="preserve">            </w:t>
            </w:r>
          </w:p>
        </w:tc>
        <w:tc>
          <w:tcPr>
            <w:tcW w:w="4196" w:type="dxa"/>
            <w:noWrap w:val="0"/>
            <w:vAlign w:val="top"/>
          </w:tcPr>
          <w:p w14:paraId="0E53AEB3">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统一社会信用代码：</w:t>
            </w:r>
          </w:p>
          <w:p w14:paraId="6E246095">
            <w:pPr>
              <w:pStyle w:val="112"/>
              <w:spacing w:after="50" w:line="360" w:lineRule="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 xml:space="preserve">                 </w:t>
            </w:r>
          </w:p>
          <w:p w14:paraId="7CA3E7DC">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kern w:val="0"/>
                <w:sz w:val="21"/>
                <w:szCs w:val="21"/>
                <w:highlight w:val="none"/>
                <w:u w:val="single"/>
              </w:rPr>
              <w:t xml:space="preserve">                 </w:t>
            </w:r>
          </w:p>
          <w:p w14:paraId="3982E125">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p>
          <w:p w14:paraId="525B0295">
            <w:pPr>
              <w:pStyle w:val="112"/>
              <w:spacing w:after="50"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p>
          <w:p w14:paraId="11E4BFAE">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委托代理人：</w:t>
            </w:r>
            <w:r>
              <w:rPr>
                <w:rFonts w:hint="eastAsia" w:ascii="宋体" w:hAnsi="宋体" w:eastAsia="宋体" w:cs="宋体"/>
                <w:color w:val="auto"/>
                <w:kern w:val="0"/>
                <w:sz w:val="21"/>
                <w:szCs w:val="21"/>
                <w:highlight w:val="none"/>
                <w:u w:val="single"/>
              </w:rPr>
              <w:t>/</w:t>
            </w:r>
          </w:p>
          <w:p w14:paraId="1400F90B">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u w:val="single"/>
              </w:rPr>
              <w:t xml:space="preserve">            </w:t>
            </w:r>
          </w:p>
          <w:p w14:paraId="429BF7D9">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 xml:space="preserve">     </w:t>
            </w:r>
          </w:p>
          <w:p w14:paraId="23F58577">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账号：</w:t>
            </w:r>
            <w:r>
              <w:rPr>
                <w:rFonts w:hint="eastAsia" w:ascii="宋体" w:hAnsi="宋体" w:eastAsia="宋体" w:cs="宋体"/>
                <w:color w:val="auto"/>
                <w:kern w:val="0"/>
                <w:sz w:val="21"/>
                <w:szCs w:val="21"/>
                <w:highlight w:val="none"/>
                <w:u w:val="single"/>
              </w:rPr>
              <w:t xml:space="preserve">            </w:t>
            </w:r>
          </w:p>
        </w:tc>
      </w:tr>
    </w:tbl>
    <w:p w14:paraId="5EF560D4">
      <w:pPr>
        <w:rPr>
          <w:rFonts w:hint="eastAsia" w:ascii="宋体" w:hAnsi="宋体"/>
          <w:color w:val="auto"/>
          <w:sz w:val="28"/>
          <w:szCs w:val="28"/>
          <w:highlight w:val="none"/>
        </w:rPr>
      </w:pPr>
      <w:r>
        <w:rPr>
          <w:rFonts w:hint="eastAsia" w:ascii="宋体" w:hAnsi="宋体"/>
          <w:color w:val="auto"/>
          <w:sz w:val="28"/>
          <w:szCs w:val="28"/>
          <w:highlight w:val="none"/>
        </w:rPr>
        <w:br w:type="page"/>
      </w:r>
    </w:p>
    <w:p w14:paraId="1D4804BB">
      <w:pPr>
        <w:pStyle w:val="5"/>
        <w:jc w:val="center"/>
        <w:rPr>
          <w:rFonts w:ascii="宋体" w:hAnsi="宋体"/>
          <w:color w:val="auto"/>
          <w:sz w:val="28"/>
          <w:szCs w:val="28"/>
          <w:highlight w:val="none"/>
        </w:rPr>
      </w:pPr>
      <w:r>
        <w:rPr>
          <w:rFonts w:hint="eastAsia" w:ascii="宋体" w:hAnsi="宋体"/>
          <w:color w:val="auto"/>
          <w:sz w:val="28"/>
          <w:szCs w:val="28"/>
          <w:highlight w:val="none"/>
        </w:rPr>
        <w:t>第六章 响应文件格式</w:t>
      </w:r>
      <w:bookmarkEnd w:id="141"/>
      <w:bookmarkEnd w:id="142"/>
      <w:bookmarkEnd w:id="143"/>
      <w:bookmarkEnd w:id="144"/>
      <w:bookmarkEnd w:id="146"/>
    </w:p>
    <w:p w14:paraId="0A1A7370">
      <w:pPr>
        <w:jc w:val="center"/>
        <w:rPr>
          <w:rFonts w:ascii="黑体" w:hAnsi="宋体" w:eastAsia="黑体"/>
          <w:color w:val="auto"/>
          <w:sz w:val="32"/>
          <w:szCs w:val="32"/>
          <w:highlight w:val="none"/>
        </w:rPr>
      </w:pPr>
    </w:p>
    <w:p w14:paraId="2472E98C">
      <w:pPr>
        <w:spacing w:line="480" w:lineRule="auto"/>
        <w:rPr>
          <w:rFonts w:eastAsia="黑体"/>
          <w:color w:val="auto"/>
          <w:sz w:val="20"/>
          <w:szCs w:val="20"/>
          <w:highlight w:val="none"/>
        </w:rPr>
      </w:pPr>
    </w:p>
    <w:p w14:paraId="0DAA68A3">
      <w:pPr>
        <w:spacing w:line="480" w:lineRule="auto"/>
        <w:jc w:val="center"/>
        <w:rPr>
          <w:rFonts w:hint="default" w:eastAsia="黑体"/>
          <w:color w:val="auto"/>
          <w:sz w:val="20"/>
          <w:szCs w:val="20"/>
          <w:highlight w:val="none"/>
          <w:lang w:val="en-US" w:eastAsia="zh-CN"/>
        </w:rPr>
      </w:pPr>
      <w:r>
        <w:rPr>
          <w:rFonts w:hint="eastAsia" w:eastAsia="黑体"/>
          <w:color w:val="auto"/>
          <w:sz w:val="28"/>
          <w:szCs w:val="28"/>
          <w:highlight w:val="none"/>
          <w:u w:val="single"/>
        </w:rPr>
        <w:t xml:space="preserve">    </w:t>
      </w:r>
      <w:r>
        <w:rPr>
          <w:rFonts w:eastAsia="黑体"/>
          <w:color w:val="auto"/>
          <w:sz w:val="28"/>
          <w:szCs w:val="28"/>
          <w:highlight w:val="none"/>
          <w:u w:val="single"/>
        </w:rPr>
        <w:t>（项目名称）</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u w:val="single"/>
        </w:rPr>
        <w:br w:type="textWrapping"/>
      </w:r>
      <w:r>
        <w:rPr>
          <w:rFonts w:hint="eastAsia" w:eastAsia="黑体"/>
          <w:color w:val="auto"/>
          <w:sz w:val="28"/>
          <w:szCs w:val="28"/>
          <w:highlight w:val="none"/>
          <w:u w:val="single"/>
        </w:rPr>
        <w:t>标包：</w:t>
      </w:r>
      <w:r>
        <w:rPr>
          <w:rFonts w:hint="eastAsia" w:eastAsia="黑体"/>
          <w:color w:val="auto"/>
          <w:sz w:val="28"/>
          <w:szCs w:val="28"/>
          <w:highlight w:val="none"/>
          <w:u w:val="single"/>
          <w:lang w:val="en-US" w:eastAsia="zh-CN"/>
        </w:rPr>
        <w:t xml:space="preserve">     </w:t>
      </w:r>
    </w:p>
    <w:p w14:paraId="71F92222">
      <w:pPr>
        <w:spacing w:line="480" w:lineRule="auto"/>
        <w:jc w:val="center"/>
        <w:rPr>
          <w:rFonts w:eastAsia="黑体"/>
          <w:color w:val="auto"/>
          <w:sz w:val="20"/>
          <w:szCs w:val="20"/>
          <w:highlight w:val="none"/>
        </w:rPr>
      </w:pPr>
    </w:p>
    <w:p w14:paraId="20E229D2">
      <w:pPr>
        <w:spacing w:line="480" w:lineRule="auto"/>
        <w:jc w:val="center"/>
        <w:rPr>
          <w:rFonts w:eastAsia="黑体"/>
          <w:color w:val="auto"/>
          <w:sz w:val="20"/>
          <w:szCs w:val="20"/>
          <w:highlight w:val="none"/>
        </w:rPr>
      </w:pPr>
    </w:p>
    <w:p w14:paraId="770C3D45">
      <w:pPr>
        <w:spacing w:line="480" w:lineRule="auto"/>
        <w:jc w:val="center"/>
        <w:rPr>
          <w:rFonts w:ascii="宋体" w:hAnsi="宋体"/>
          <w:b/>
          <w:color w:val="auto"/>
          <w:sz w:val="52"/>
          <w:szCs w:val="52"/>
          <w:highlight w:val="none"/>
        </w:rPr>
      </w:pPr>
      <w:r>
        <w:rPr>
          <w:rFonts w:hint="eastAsia" w:ascii="宋体" w:hAnsi="宋体"/>
          <w:b/>
          <w:color w:val="auto"/>
          <w:sz w:val="52"/>
          <w:szCs w:val="52"/>
          <w:highlight w:val="none"/>
        </w:rPr>
        <w:t>响</w:t>
      </w:r>
      <w:r>
        <w:rPr>
          <w:rFonts w:ascii="宋体" w:hAnsi="宋体"/>
          <w:b/>
          <w:color w:val="auto"/>
          <w:sz w:val="52"/>
          <w:szCs w:val="52"/>
          <w:highlight w:val="none"/>
        </w:rPr>
        <w:t xml:space="preserve">  </w:t>
      </w:r>
      <w:r>
        <w:rPr>
          <w:rFonts w:hint="eastAsia" w:ascii="宋体" w:hAnsi="宋体"/>
          <w:b/>
          <w:color w:val="auto"/>
          <w:sz w:val="52"/>
          <w:szCs w:val="52"/>
          <w:highlight w:val="none"/>
        </w:rPr>
        <w:t>应</w:t>
      </w:r>
      <w:r>
        <w:rPr>
          <w:rFonts w:ascii="宋体" w:hAnsi="宋体"/>
          <w:b/>
          <w:color w:val="auto"/>
          <w:sz w:val="52"/>
          <w:szCs w:val="52"/>
          <w:highlight w:val="none"/>
        </w:rPr>
        <w:t xml:space="preserve">  文  件</w:t>
      </w:r>
    </w:p>
    <w:p w14:paraId="34102354">
      <w:pPr>
        <w:jc w:val="center"/>
        <w:rPr>
          <w:rFonts w:eastAsia="黑体"/>
          <w:color w:val="auto"/>
          <w:sz w:val="28"/>
          <w:szCs w:val="28"/>
          <w:highlight w:val="none"/>
        </w:rPr>
      </w:pPr>
    </w:p>
    <w:p w14:paraId="7CB9A2C3">
      <w:pPr>
        <w:jc w:val="center"/>
        <w:rPr>
          <w:rFonts w:eastAsia="黑体"/>
          <w:color w:val="auto"/>
          <w:sz w:val="28"/>
          <w:szCs w:val="28"/>
          <w:highlight w:val="none"/>
        </w:rPr>
      </w:pPr>
    </w:p>
    <w:p w14:paraId="78B01CC6">
      <w:pPr>
        <w:rPr>
          <w:rFonts w:eastAsia="黑体"/>
          <w:color w:val="auto"/>
          <w:sz w:val="28"/>
          <w:szCs w:val="28"/>
          <w:highlight w:val="none"/>
        </w:rPr>
      </w:pPr>
    </w:p>
    <w:p w14:paraId="5B7001B1">
      <w:pPr>
        <w:rPr>
          <w:rFonts w:eastAsia="黑体"/>
          <w:color w:val="auto"/>
          <w:sz w:val="28"/>
          <w:szCs w:val="28"/>
          <w:highlight w:val="none"/>
        </w:rPr>
      </w:pPr>
    </w:p>
    <w:p w14:paraId="44B031EA">
      <w:pPr>
        <w:rPr>
          <w:rFonts w:eastAsia="黑体"/>
          <w:color w:val="auto"/>
          <w:sz w:val="28"/>
          <w:szCs w:val="28"/>
          <w:highlight w:val="none"/>
        </w:rPr>
      </w:pPr>
    </w:p>
    <w:p w14:paraId="372F70A6">
      <w:pPr>
        <w:rPr>
          <w:rFonts w:eastAsia="黑体"/>
          <w:color w:val="auto"/>
          <w:sz w:val="28"/>
          <w:szCs w:val="28"/>
          <w:highlight w:val="none"/>
        </w:rPr>
      </w:pPr>
    </w:p>
    <w:p w14:paraId="27EB6166">
      <w:pPr>
        <w:rPr>
          <w:rFonts w:eastAsia="黑体"/>
          <w:color w:val="auto"/>
          <w:sz w:val="28"/>
          <w:szCs w:val="28"/>
          <w:highlight w:val="none"/>
        </w:rPr>
      </w:pPr>
    </w:p>
    <w:p w14:paraId="34178BCF">
      <w:pPr>
        <w:rPr>
          <w:rFonts w:eastAsia="黑体"/>
          <w:color w:val="auto"/>
          <w:sz w:val="28"/>
          <w:szCs w:val="28"/>
          <w:highlight w:val="none"/>
        </w:rPr>
      </w:pPr>
    </w:p>
    <w:p w14:paraId="51325DA9">
      <w:pPr>
        <w:rPr>
          <w:rFonts w:eastAsia="黑体"/>
          <w:color w:val="auto"/>
          <w:sz w:val="28"/>
          <w:szCs w:val="28"/>
          <w:highlight w:val="none"/>
        </w:rPr>
      </w:pPr>
    </w:p>
    <w:p w14:paraId="0F598B6A">
      <w:pPr>
        <w:spacing w:line="360" w:lineRule="auto"/>
        <w:jc w:val="center"/>
        <w:rPr>
          <w:rFonts w:eastAsia="黑体"/>
          <w:color w:val="auto"/>
          <w:sz w:val="28"/>
          <w:szCs w:val="28"/>
          <w:highlight w:val="none"/>
          <w:u w:val="single"/>
        </w:rPr>
      </w:pPr>
      <w:r>
        <w:rPr>
          <w:rFonts w:eastAsia="黑体"/>
          <w:color w:val="auto"/>
          <w:sz w:val="28"/>
          <w:szCs w:val="28"/>
          <w:highlight w:val="none"/>
        </w:rPr>
        <w:t>响应人：</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（盖单位</w:t>
      </w:r>
      <w:r>
        <w:rPr>
          <w:rFonts w:hint="eastAsia" w:eastAsia="黑体"/>
          <w:color w:val="auto"/>
          <w:sz w:val="28"/>
          <w:szCs w:val="28"/>
          <w:highlight w:val="none"/>
        </w:rPr>
        <w:t>公</w:t>
      </w:r>
      <w:r>
        <w:rPr>
          <w:rFonts w:eastAsia="黑体"/>
          <w:color w:val="auto"/>
          <w:sz w:val="28"/>
          <w:szCs w:val="28"/>
          <w:highlight w:val="none"/>
        </w:rPr>
        <w:t>章）</w:t>
      </w:r>
    </w:p>
    <w:p w14:paraId="38A85E76">
      <w:pPr>
        <w:spacing w:line="360" w:lineRule="auto"/>
        <w:jc w:val="center"/>
        <w:rPr>
          <w:rFonts w:eastAsia="黑体"/>
          <w:color w:val="auto"/>
          <w:sz w:val="28"/>
          <w:szCs w:val="28"/>
          <w:highlight w:val="none"/>
        </w:rPr>
      </w:pPr>
      <w:r>
        <w:rPr>
          <w:rFonts w:eastAsia="黑体"/>
          <w:color w:val="auto"/>
          <w:sz w:val="28"/>
          <w:szCs w:val="28"/>
          <w:highlight w:val="none"/>
        </w:rPr>
        <w:t>法定代表人或其委托代理人：</w:t>
      </w:r>
      <w:r>
        <w:rPr>
          <w:rFonts w:eastAsia="黑体"/>
          <w:color w:val="auto"/>
          <w:sz w:val="28"/>
          <w:szCs w:val="28"/>
          <w:highlight w:val="none"/>
          <w:u w:val="single"/>
        </w:rPr>
        <w:t xml:space="preserve">         </w:t>
      </w:r>
      <w:r>
        <w:rPr>
          <w:rFonts w:eastAsia="黑体"/>
          <w:color w:val="auto"/>
          <w:sz w:val="28"/>
          <w:szCs w:val="28"/>
          <w:highlight w:val="none"/>
        </w:rPr>
        <w:t>（签字）</w:t>
      </w:r>
    </w:p>
    <w:p w14:paraId="04E53D9C">
      <w:pPr>
        <w:spacing w:line="360" w:lineRule="auto"/>
        <w:jc w:val="center"/>
        <w:rPr>
          <w:rFonts w:eastAsia="黑体"/>
          <w:color w:val="auto"/>
          <w:sz w:val="28"/>
          <w:szCs w:val="28"/>
          <w:highlight w:val="none"/>
        </w:rPr>
      </w:pPr>
      <w:r>
        <w:rPr>
          <w:rFonts w:eastAsia="黑体"/>
          <w:color w:val="auto"/>
          <w:sz w:val="28"/>
          <w:szCs w:val="28"/>
          <w:highlight w:val="none"/>
          <w:u w:val="single"/>
        </w:rPr>
        <w:t xml:space="preserve">        </w:t>
      </w:r>
      <w:r>
        <w:rPr>
          <w:rFonts w:eastAsia="黑体"/>
          <w:color w:val="auto"/>
          <w:sz w:val="28"/>
          <w:szCs w:val="28"/>
          <w:highlight w:val="none"/>
        </w:rPr>
        <w:t>年</w:t>
      </w:r>
      <w:r>
        <w:rPr>
          <w:rFonts w:eastAsia="黑体"/>
          <w:color w:val="auto"/>
          <w:sz w:val="28"/>
          <w:szCs w:val="28"/>
          <w:highlight w:val="none"/>
          <w:u w:val="single"/>
        </w:rPr>
        <w:t xml:space="preserve">   </w:t>
      </w:r>
      <w:r>
        <w:rPr>
          <w:rFonts w:eastAsia="黑体"/>
          <w:color w:val="auto"/>
          <w:sz w:val="28"/>
          <w:szCs w:val="28"/>
          <w:highlight w:val="none"/>
        </w:rPr>
        <w:t>月</w:t>
      </w:r>
      <w:r>
        <w:rPr>
          <w:rFonts w:eastAsia="黑体"/>
          <w:color w:val="auto"/>
          <w:sz w:val="28"/>
          <w:szCs w:val="28"/>
          <w:highlight w:val="none"/>
          <w:u w:val="single"/>
        </w:rPr>
        <w:t xml:space="preserve">  </w:t>
      </w:r>
      <w:r>
        <w:rPr>
          <w:rFonts w:eastAsia="黑体"/>
          <w:color w:val="auto"/>
          <w:sz w:val="28"/>
          <w:szCs w:val="28"/>
          <w:highlight w:val="none"/>
        </w:rPr>
        <w:t>日</w:t>
      </w:r>
    </w:p>
    <w:p w14:paraId="75FBC26D">
      <w:pPr>
        <w:jc w:val="center"/>
        <w:rPr>
          <w:rFonts w:eastAsia="黑体"/>
          <w:color w:val="auto"/>
          <w:sz w:val="28"/>
          <w:szCs w:val="28"/>
          <w:highlight w:val="none"/>
        </w:rPr>
      </w:pPr>
    </w:p>
    <w:p w14:paraId="1A13F533">
      <w:pPr>
        <w:widowControl/>
        <w:jc w:val="left"/>
        <w:rPr>
          <w:color w:val="auto"/>
          <w:highlight w:val="none"/>
        </w:rPr>
      </w:pPr>
      <w:r>
        <w:rPr>
          <w:color w:val="auto"/>
          <w:highlight w:val="none"/>
        </w:rPr>
        <w:br w:type="page"/>
      </w:r>
    </w:p>
    <w:p w14:paraId="4C57245E">
      <w:pPr>
        <w:pStyle w:val="6"/>
        <w:jc w:val="center"/>
        <w:rPr>
          <w:rFonts w:ascii="黑体" w:hAnsi="宋体"/>
          <w:b w:val="0"/>
          <w:color w:val="auto"/>
          <w:szCs w:val="28"/>
          <w:highlight w:val="none"/>
        </w:rPr>
      </w:pPr>
      <w:bookmarkStart w:id="147" w:name="_Toc20859"/>
      <w:r>
        <w:rPr>
          <w:color w:val="auto"/>
          <w:highlight w:val="none"/>
        </w:rPr>
        <w:fldChar w:fldCharType="begin" w:fldLock="1"/>
      </w:r>
      <w:r>
        <w:rPr>
          <w:color w:val="auto"/>
          <w:highlight w:val="none"/>
        </w:rPr>
        <w:instrText xml:space="preserve"> HYPERLINK \l "_Toc338661805" </w:instrText>
      </w:r>
      <w:r>
        <w:rPr>
          <w:color w:val="auto"/>
          <w:highlight w:val="none"/>
        </w:rPr>
        <w:fldChar w:fldCharType="separate"/>
      </w:r>
      <w:bookmarkStart w:id="148" w:name="_Toc475407552"/>
      <w:r>
        <w:rPr>
          <w:rFonts w:hint="eastAsia" w:ascii="黑体" w:hAnsi="宋体"/>
          <w:b w:val="0"/>
          <w:color w:val="auto"/>
          <w:szCs w:val="28"/>
          <w:highlight w:val="none"/>
        </w:rPr>
        <w:t>目    录</w:t>
      </w:r>
      <w:bookmarkEnd w:id="148"/>
      <w:r>
        <w:rPr>
          <w:rFonts w:hint="eastAsia" w:ascii="黑体" w:hAnsi="宋体"/>
          <w:b w:val="0"/>
          <w:color w:val="auto"/>
          <w:szCs w:val="28"/>
          <w:highlight w:val="none"/>
        </w:rPr>
        <w:fldChar w:fldCharType="end"/>
      </w:r>
      <w:bookmarkEnd w:id="147"/>
    </w:p>
    <w:p w14:paraId="1588726E">
      <w:pPr>
        <w:spacing w:line="540" w:lineRule="exact"/>
        <w:rPr>
          <w:rFonts w:eastAsia="黑体"/>
          <w:color w:val="auto"/>
          <w:sz w:val="20"/>
          <w:szCs w:val="20"/>
          <w:highlight w:val="none"/>
        </w:rPr>
      </w:pPr>
      <w:r>
        <w:rPr>
          <w:color w:val="auto"/>
          <w:highlight w:val="none"/>
        </w:rPr>
        <w:br w:type="page"/>
      </w:r>
    </w:p>
    <w:p w14:paraId="7F8C1781">
      <w:pPr>
        <w:pStyle w:val="6"/>
        <w:jc w:val="left"/>
        <w:rPr>
          <w:color w:val="auto"/>
          <w:highlight w:val="none"/>
        </w:rPr>
      </w:pPr>
      <w:bookmarkStart w:id="149" w:name="_Toc327827430"/>
      <w:bookmarkStart w:id="150" w:name="_Toc338669151"/>
      <w:bookmarkStart w:id="151" w:name="_Toc28455"/>
      <w:bookmarkStart w:id="152" w:name="_Toc144974857"/>
      <w:bookmarkStart w:id="153" w:name="_Toc152045788"/>
      <w:bookmarkStart w:id="154" w:name="_Toc246997099"/>
      <w:bookmarkStart w:id="155" w:name="_Toc179632808"/>
      <w:bookmarkStart w:id="156" w:name="_Toc152042577"/>
      <w:bookmarkStart w:id="157" w:name="_Toc247085874"/>
      <w:bookmarkStart w:id="158" w:name="_Toc246996356"/>
      <w:r>
        <w:rPr>
          <w:rFonts w:hint="eastAsia"/>
          <w:color w:val="auto"/>
          <w:highlight w:val="none"/>
        </w:rPr>
        <w:t>第一部分</w:t>
      </w:r>
      <w:r>
        <w:rPr>
          <w:color w:val="auto"/>
          <w:highlight w:val="none"/>
        </w:rPr>
        <w:t xml:space="preserve">  </w:t>
      </w:r>
      <w:r>
        <w:rPr>
          <w:rFonts w:hint="eastAsia"/>
          <w:color w:val="auto"/>
          <w:highlight w:val="none"/>
        </w:rPr>
        <w:t>技术商务</w:t>
      </w:r>
      <w:bookmarkEnd w:id="149"/>
      <w:bookmarkEnd w:id="150"/>
      <w:r>
        <w:rPr>
          <w:rFonts w:hint="eastAsia"/>
          <w:color w:val="auto"/>
          <w:highlight w:val="none"/>
        </w:rPr>
        <w:t>部分</w:t>
      </w:r>
      <w:bookmarkEnd w:id="151"/>
    </w:p>
    <w:p w14:paraId="795FC91A">
      <w:pPr>
        <w:pStyle w:val="6"/>
        <w:jc w:val="center"/>
        <w:rPr>
          <w:rFonts w:ascii="黑体" w:hAnsi="宋体"/>
          <w:b w:val="0"/>
          <w:color w:val="auto"/>
          <w:szCs w:val="28"/>
          <w:highlight w:val="none"/>
        </w:rPr>
      </w:pPr>
      <w:bookmarkStart w:id="159" w:name="_Toc2970"/>
      <w:bookmarkStart w:id="160" w:name="_Toc475483721"/>
      <w:bookmarkStart w:id="161" w:name="_Toc338669152"/>
      <w:r>
        <w:rPr>
          <w:rFonts w:hint="eastAsia"/>
          <w:color w:val="auto"/>
          <w:highlight w:val="none"/>
        </w:rPr>
        <w:t>一、</w:t>
      </w:r>
      <w:r>
        <w:rPr>
          <w:rFonts w:hint="eastAsia" w:ascii="黑体" w:hAnsi="宋体"/>
          <w:b w:val="0"/>
          <w:color w:val="auto"/>
          <w:szCs w:val="28"/>
          <w:highlight w:val="none"/>
        </w:rPr>
        <w:t>评审索引表</w:t>
      </w:r>
      <w:bookmarkEnd w:id="159"/>
      <w:bookmarkEnd w:id="160"/>
    </w:p>
    <w:tbl>
      <w:tblPr>
        <w:tblStyle w:val="38"/>
        <w:tblW w:w="9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6"/>
        <w:gridCol w:w="2405"/>
        <w:gridCol w:w="1701"/>
        <w:gridCol w:w="1701"/>
        <w:gridCol w:w="2126"/>
      </w:tblGrid>
      <w:tr w14:paraId="65980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6" w:type="dxa"/>
            <w:vAlign w:val="center"/>
          </w:tcPr>
          <w:p w14:paraId="08333654">
            <w:pPr>
              <w:jc w:val="center"/>
              <w:rPr>
                <w:rFonts w:ascii="宋体" w:hAnsi="宋体"/>
                <w:color w:val="auto"/>
                <w:sz w:val="24"/>
                <w:highlight w:val="none"/>
              </w:rPr>
            </w:pPr>
            <w:r>
              <w:rPr>
                <w:rFonts w:ascii="宋体" w:hAnsi="宋体"/>
                <w:color w:val="auto"/>
                <w:sz w:val="24"/>
                <w:highlight w:val="none"/>
              </w:rPr>
              <w:t>条款号</w:t>
            </w:r>
          </w:p>
        </w:tc>
        <w:tc>
          <w:tcPr>
            <w:tcW w:w="2405" w:type="dxa"/>
            <w:vAlign w:val="center"/>
          </w:tcPr>
          <w:p w14:paraId="7A2233E6">
            <w:pPr>
              <w:jc w:val="center"/>
              <w:rPr>
                <w:rFonts w:ascii="宋体" w:hAnsi="宋体"/>
                <w:color w:val="auto"/>
                <w:sz w:val="24"/>
                <w:highlight w:val="none"/>
              </w:rPr>
            </w:pPr>
            <w:r>
              <w:rPr>
                <w:rFonts w:ascii="宋体" w:hAnsi="宋体"/>
                <w:color w:val="auto"/>
                <w:sz w:val="24"/>
                <w:highlight w:val="none"/>
              </w:rPr>
              <w:t>评审因素</w:t>
            </w:r>
          </w:p>
        </w:tc>
        <w:tc>
          <w:tcPr>
            <w:tcW w:w="1701" w:type="dxa"/>
            <w:vAlign w:val="center"/>
          </w:tcPr>
          <w:p w14:paraId="079702B5">
            <w:pPr>
              <w:jc w:val="center"/>
              <w:rPr>
                <w:rFonts w:ascii="宋体" w:hAnsi="宋体"/>
                <w:color w:val="auto"/>
                <w:sz w:val="24"/>
                <w:highlight w:val="none"/>
              </w:rPr>
            </w:pPr>
            <w:r>
              <w:rPr>
                <w:rFonts w:hint="eastAsia" w:ascii="宋体" w:hAnsi="宋体"/>
                <w:color w:val="auto"/>
                <w:sz w:val="24"/>
                <w:highlight w:val="none"/>
              </w:rPr>
              <w:t>响应情况</w:t>
            </w:r>
          </w:p>
        </w:tc>
        <w:tc>
          <w:tcPr>
            <w:tcW w:w="1701" w:type="dxa"/>
            <w:vAlign w:val="center"/>
          </w:tcPr>
          <w:p w14:paraId="19310373">
            <w:pPr>
              <w:jc w:val="center"/>
              <w:rPr>
                <w:rFonts w:ascii="宋体" w:hAnsi="宋体"/>
                <w:color w:val="auto"/>
                <w:sz w:val="24"/>
                <w:highlight w:val="none"/>
              </w:rPr>
            </w:pPr>
            <w:r>
              <w:rPr>
                <w:rFonts w:hint="eastAsia" w:ascii="宋体" w:hAnsi="宋体"/>
                <w:color w:val="auto"/>
                <w:sz w:val="24"/>
                <w:highlight w:val="none"/>
              </w:rPr>
              <w:t>对应页码</w:t>
            </w:r>
          </w:p>
        </w:tc>
        <w:tc>
          <w:tcPr>
            <w:tcW w:w="2126" w:type="dxa"/>
            <w:vAlign w:val="center"/>
          </w:tcPr>
          <w:p w14:paraId="66F97B91">
            <w:pPr>
              <w:jc w:val="center"/>
              <w:rPr>
                <w:rFonts w:ascii="宋体" w:hAnsi="宋体"/>
                <w:color w:val="auto"/>
                <w:sz w:val="24"/>
                <w:highlight w:val="none"/>
              </w:rPr>
            </w:pPr>
            <w:r>
              <w:rPr>
                <w:rFonts w:hint="eastAsia" w:ascii="宋体" w:hAnsi="宋体"/>
                <w:color w:val="auto"/>
                <w:sz w:val="24"/>
                <w:highlight w:val="none"/>
              </w:rPr>
              <w:t>备注或说明</w:t>
            </w:r>
          </w:p>
        </w:tc>
      </w:tr>
      <w:tr w14:paraId="2A0F9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6" w:type="dxa"/>
            <w:vAlign w:val="center"/>
          </w:tcPr>
          <w:p w14:paraId="02A160AA">
            <w:pPr>
              <w:tabs>
                <w:tab w:val="left" w:pos="720"/>
              </w:tabs>
              <w:spacing w:line="360" w:lineRule="auto"/>
              <w:ind w:left="-2" w:firstLine="1"/>
              <w:jc w:val="center"/>
              <w:rPr>
                <w:rFonts w:ascii="宋体" w:hAnsi="宋体"/>
                <w:color w:val="auto"/>
                <w:sz w:val="24"/>
                <w:highlight w:val="none"/>
              </w:rPr>
            </w:pPr>
            <w:r>
              <w:rPr>
                <w:rFonts w:ascii="宋体" w:hAnsi="宋体"/>
                <w:color w:val="auto"/>
                <w:sz w:val="24"/>
                <w:highlight w:val="none"/>
              </w:rPr>
              <w:t>…</w:t>
            </w:r>
          </w:p>
        </w:tc>
        <w:tc>
          <w:tcPr>
            <w:tcW w:w="2405" w:type="dxa"/>
            <w:vAlign w:val="center"/>
          </w:tcPr>
          <w:p w14:paraId="14A7B257">
            <w:pPr>
              <w:tabs>
                <w:tab w:val="left" w:pos="720"/>
              </w:tabs>
              <w:spacing w:line="360" w:lineRule="auto"/>
              <w:ind w:left="-2" w:firstLine="1"/>
              <w:jc w:val="center"/>
              <w:rPr>
                <w:rFonts w:ascii="宋体" w:hAnsi="宋体"/>
                <w:color w:val="auto"/>
                <w:sz w:val="24"/>
                <w:highlight w:val="none"/>
              </w:rPr>
            </w:pPr>
            <w:r>
              <w:rPr>
                <w:rFonts w:ascii="宋体" w:hAnsi="宋体"/>
                <w:color w:val="auto"/>
                <w:sz w:val="24"/>
                <w:highlight w:val="none"/>
              </w:rPr>
              <w:t>…</w:t>
            </w:r>
          </w:p>
        </w:tc>
        <w:tc>
          <w:tcPr>
            <w:tcW w:w="1701" w:type="dxa"/>
          </w:tcPr>
          <w:p w14:paraId="5633DB4A">
            <w:pPr>
              <w:tabs>
                <w:tab w:val="left" w:pos="720"/>
              </w:tabs>
              <w:spacing w:line="360" w:lineRule="auto"/>
              <w:jc w:val="center"/>
              <w:rPr>
                <w:rFonts w:ascii="宋体" w:hAnsi="宋体"/>
                <w:color w:val="auto"/>
                <w:sz w:val="24"/>
                <w:highlight w:val="none"/>
              </w:rPr>
            </w:pPr>
          </w:p>
        </w:tc>
        <w:tc>
          <w:tcPr>
            <w:tcW w:w="1701" w:type="dxa"/>
            <w:vAlign w:val="center"/>
          </w:tcPr>
          <w:p w14:paraId="2A0D6B87">
            <w:pPr>
              <w:tabs>
                <w:tab w:val="left" w:pos="720"/>
              </w:tabs>
              <w:spacing w:line="360" w:lineRule="auto"/>
              <w:jc w:val="center"/>
              <w:rPr>
                <w:rFonts w:ascii="宋体" w:hAnsi="宋体"/>
                <w:color w:val="auto"/>
                <w:sz w:val="24"/>
                <w:highlight w:val="none"/>
              </w:rPr>
            </w:pPr>
          </w:p>
        </w:tc>
        <w:tc>
          <w:tcPr>
            <w:tcW w:w="2126" w:type="dxa"/>
            <w:vAlign w:val="center"/>
          </w:tcPr>
          <w:p w14:paraId="33E045A9">
            <w:pPr>
              <w:tabs>
                <w:tab w:val="left" w:pos="720"/>
              </w:tabs>
              <w:spacing w:line="360" w:lineRule="auto"/>
              <w:jc w:val="center"/>
              <w:rPr>
                <w:rFonts w:ascii="宋体" w:hAnsi="宋体"/>
                <w:color w:val="auto"/>
                <w:sz w:val="24"/>
                <w:highlight w:val="none"/>
              </w:rPr>
            </w:pPr>
          </w:p>
        </w:tc>
      </w:tr>
      <w:tr w14:paraId="64D8E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6" w:type="dxa"/>
            <w:vAlign w:val="center"/>
          </w:tcPr>
          <w:p w14:paraId="4E90534F">
            <w:pPr>
              <w:tabs>
                <w:tab w:val="left" w:pos="720"/>
              </w:tabs>
              <w:spacing w:line="360" w:lineRule="auto"/>
              <w:jc w:val="center"/>
              <w:rPr>
                <w:rFonts w:ascii="宋体" w:hAnsi="宋体"/>
                <w:color w:val="auto"/>
                <w:sz w:val="24"/>
                <w:highlight w:val="none"/>
              </w:rPr>
            </w:pPr>
          </w:p>
        </w:tc>
        <w:tc>
          <w:tcPr>
            <w:tcW w:w="2405" w:type="dxa"/>
            <w:vAlign w:val="center"/>
          </w:tcPr>
          <w:p w14:paraId="39EE6B51">
            <w:pPr>
              <w:tabs>
                <w:tab w:val="left" w:pos="720"/>
              </w:tabs>
              <w:spacing w:line="360" w:lineRule="auto"/>
              <w:jc w:val="center"/>
              <w:rPr>
                <w:rFonts w:ascii="宋体" w:hAnsi="宋体"/>
                <w:color w:val="auto"/>
                <w:sz w:val="24"/>
                <w:highlight w:val="none"/>
              </w:rPr>
            </w:pPr>
          </w:p>
        </w:tc>
        <w:tc>
          <w:tcPr>
            <w:tcW w:w="1701" w:type="dxa"/>
          </w:tcPr>
          <w:p w14:paraId="66F74026">
            <w:pPr>
              <w:tabs>
                <w:tab w:val="left" w:pos="720"/>
              </w:tabs>
              <w:spacing w:line="360" w:lineRule="auto"/>
              <w:jc w:val="center"/>
              <w:rPr>
                <w:rFonts w:ascii="宋体" w:hAnsi="宋体"/>
                <w:color w:val="auto"/>
                <w:sz w:val="24"/>
                <w:highlight w:val="none"/>
              </w:rPr>
            </w:pPr>
          </w:p>
        </w:tc>
        <w:tc>
          <w:tcPr>
            <w:tcW w:w="1701" w:type="dxa"/>
            <w:vAlign w:val="center"/>
          </w:tcPr>
          <w:p w14:paraId="729347F1">
            <w:pPr>
              <w:tabs>
                <w:tab w:val="left" w:pos="720"/>
              </w:tabs>
              <w:spacing w:line="360" w:lineRule="auto"/>
              <w:jc w:val="center"/>
              <w:rPr>
                <w:rFonts w:ascii="宋体" w:hAnsi="宋体"/>
                <w:color w:val="auto"/>
                <w:sz w:val="24"/>
                <w:highlight w:val="none"/>
              </w:rPr>
            </w:pPr>
          </w:p>
        </w:tc>
        <w:tc>
          <w:tcPr>
            <w:tcW w:w="2126" w:type="dxa"/>
            <w:vAlign w:val="center"/>
          </w:tcPr>
          <w:p w14:paraId="503466A7">
            <w:pPr>
              <w:tabs>
                <w:tab w:val="left" w:pos="720"/>
              </w:tabs>
              <w:spacing w:line="360" w:lineRule="auto"/>
              <w:jc w:val="center"/>
              <w:rPr>
                <w:rFonts w:ascii="宋体" w:hAnsi="宋体"/>
                <w:color w:val="auto"/>
                <w:sz w:val="24"/>
                <w:highlight w:val="none"/>
              </w:rPr>
            </w:pPr>
          </w:p>
        </w:tc>
      </w:tr>
      <w:tr w14:paraId="5B638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6" w:type="dxa"/>
            <w:vAlign w:val="center"/>
          </w:tcPr>
          <w:p w14:paraId="2FF33244">
            <w:pPr>
              <w:tabs>
                <w:tab w:val="left" w:pos="720"/>
              </w:tabs>
              <w:spacing w:line="360" w:lineRule="auto"/>
              <w:jc w:val="center"/>
              <w:rPr>
                <w:rFonts w:ascii="宋体" w:hAnsi="宋体"/>
                <w:color w:val="auto"/>
                <w:sz w:val="24"/>
                <w:highlight w:val="none"/>
              </w:rPr>
            </w:pPr>
          </w:p>
        </w:tc>
        <w:tc>
          <w:tcPr>
            <w:tcW w:w="2405" w:type="dxa"/>
            <w:vAlign w:val="center"/>
          </w:tcPr>
          <w:p w14:paraId="2D51BD6F">
            <w:pPr>
              <w:tabs>
                <w:tab w:val="left" w:pos="720"/>
              </w:tabs>
              <w:spacing w:line="360" w:lineRule="auto"/>
              <w:jc w:val="center"/>
              <w:rPr>
                <w:rFonts w:ascii="宋体" w:hAnsi="宋体"/>
                <w:color w:val="auto"/>
                <w:sz w:val="24"/>
                <w:highlight w:val="none"/>
              </w:rPr>
            </w:pPr>
          </w:p>
        </w:tc>
        <w:tc>
          <w:tcPr>
            <w:tcW w:w="1701" w:type="dxa"/>
          </w:tcPr>
          <w:p w14:paraId="7247691F">
            <w:pPr>
              <w:tabs>
                <w:tab w:val="left" w:pos="720"/>
              </w:tabs>
              <w:spacing w:line="360" w:lineRule="auto"/>
              <w:jc w:val="center"/>
              <w:rPr>
                <w:rFonts w:ascii="宋体" w:hAnsi="宋体"/>
                <w:color w:val="auto"/>
                <w:sz w:val="24"/>
                <w:highlight w:val="none"/>
              </w:rPr>
            </w:pPr>
          </w:p>
        </w:tc>
        <w:tc>
          <w:tcPr>
            <w:tcW w:w="1701" w:type="dxa"/>
            <w:vAlign w:val="center"/>
          </w:tcPr>
          <w:p w14:paraId="258FF9CC">
            <w:pPr>
              <w:tabs>
                <w:tab w:val="left" w:pos="720"/>
              </w:tabs>
              <w:spacing w:line="360" w:lineRule="auto"/>
              <w:jc w:val="center"/>
              <w:rPr>
                <w:rFonts w:ascii="宋体" w:hAnsi="宋体"/>
                <w:color w:val="auto"/>
                <w:sz w:val="24"/>
                <w:highlight w:val="none"/>
              </w:rPr>
            </w:pPr>
          </w:p>
        </w:tc>
        <w:tc>
          <w:tcPr>
            <w:tcW w:w="2126" w:type="dxa"/>
            <w:vAlign w:val="center"/>
          </w:tcPr>
          <w:p w14:paraId="5CB60044">
            <w:pPr>
              <w:tabs>
                <w:tab w:val="left" w:pos="720"/>
              </w:tabs>
              <w:spacing w:line="360" w:lineRule="auto"/>
              <w:jc w:val="center"/>
              <w:rPr>
                <w:rFonts w:ascii="宋体" w:hAnsi="宋体"/>
                <w:color w:val="auto"/>
                <w:sz w:val="24"/>
                <w:highlight w:val="none"/>
              </w:rPr>
            </w:pPr>
          </w:p>
        </w:tc>
      </w:tr>
      <w:tr w14:paraId="64332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6" w:type="dxa"/>
            <w:vAlign w:val="center"/>
          </w:tcPr>
          <w:p w14:paraId="76742949">
            <w:pPr>
              <w:tabs>
                <w:tab w:val="left" w:pos="720"/>
              </w:tabs>
              <w:spacing w:line="360" w:lineRule="auto"/>
              <w:jc w:val="center"/>
              <w:rPr>
                <w:rFonts w:ascii="宋体" w:hAnsi="宋体"/>
                <w:color w:val="auto"/>
                <w:sz w:val="24"/>
                <w:highlight w:val="none"/>
              </w:rPr>
            </w:pPr>
          </w:p>
        </w:tc>
        <w:tc>
          <w:tcPr>
            <w:tcW w:w="2405" w:type="dxa"/>
            <w:vAlign w:val="center"/>
          </w:tcPr>
          <w:p w14:paraId="065C9C4B">
            <w:pPr>
              <w:tabs>
                <w:tab w:val="left" w:pos="720"/>
              </w:tabs>
              <w:spacing w:line="360" w:lineRule="auto"/>
              <w:jc w:val="center"/>
              <w:rPr>
                <w:rFonts w:ascii="宋体" w:hAnsi="宋体"/>
                <w:color w:val="auto"/>
                <w:sz w:val="24"/>
                <w:highlight w:val="none"/>
              </w:rPr>
            </w:pPr>
          </w:p>
        </w:tc>
        <w:tc>
          <w:tcPr>
            <w:tcW w:w="1701" w:type="dxa"/>
          </w:tcPr>
          <w:p w14:paraId="37B0A3AA">
            <w:pPr>
              <w:tabs>
                <w:tab w:val="left" w:pos="720"/>
              </w:tabs>
              <w:spacing w:line="360" w:lineRule="auto"/>
              <w:jc w:val="center"/>
              <w:rPr>
                <w:rFonts w:ascii="宋体" w:hAnsi="宋体"/>
                <w:color w:val="auto"/>
                <w:sz w:val="24"/>
                <w:highlight w:val="none"/>
              </w:rPr>
            </w:pPr>
          </w:p>
        </w:tc>
        <w:tc>
          <w:tcPr>
            <w:tcW w:w="1701" w:type="dxa"/>
            <w:vAlign w:val="center"/>
          </w:tcPr>
          <w:p w14:paraId="601A98D6">
            <w:pPr>
              <w:tabs>
                <w:tab w:val="left" w:pos="720"/>
              </w:tabs>
              <w:spacing w:line="360" w:lineRule="auto"/>
              <w:jc w:val="center"/>
              <w:rPr>
                <w:rFonts w:ascii="宋体" w:hAnsi="宋体"/>
                <w:color w:val="auto"/>
                <w:sz w:val="24"/>
                <w:highlight w:val="none"/>
              </w:rPr>
            </w:pPr>
          </w:p>
        </w:tc>
        <w:tc>
          <w:tcPr>
            <w:tcW w:w="2126" w:type="dxa"/>
            <w:vAlign w:val="center"/>
          </w:tcPr>
          <w:p w14:paraId="1FD2E41D">
            <w:pPr>
              <w:tabs>
                <w:tab w:val="left" w:pos="720"/>
              </w:tabs>
              <w:spacing w:line="360" w:lineRule="auto"/>
              <w:jc w:val="center"/>
              <w:rPr>
                <w:rFonts w:ascii="宋体" w:hAnsi="宋体"/>
                <w:color w:val="auto"/>
                <w:sz w:val="24"/>
                <w:highlight w:val="none"/>
              </w:rPr>
            </w:pPr>
          </w:p>
        </w:tc>
      </w:tr>
      <w:tr w14:paraId="6A8BE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6" w:type="dxa"/>
            <w:vAlign w:val="center"/>
          </w:tcPr>
          <w:p w14:paraId="2FA016C1">
            <w:pPr>
              <w:tabs>
                <w:tab w:val="left" w:pos="720"/>
              </w:tabs>
              <w:spacing w:line="360" w:lineRule="auto"/>
              <w:jc w:val="center"/>
              <w:rPr>
                <w:rFonts w:ascii="宋体" w:hAnsi="宋体"/>
                <w:color w:val="auto"/>
                <w:sz w:val="24"/>
                <w:highlight w:val="none"/>
              </w:rPr>
            </w:pPr>
          </w:p>
        </w:tc>
        <w:tc>
          <w:tcPr>
            <w:tcW w:w="2405" w:type="dxa"/>
            <w:vAlign w:val="center"/>
          </w:tcPr>
          <w:p w14:paraId="249A5451">
            <w:pPr>
              <w:tabs>
                <w:tab w:val="left" w:pos="720"/>
              </w:tabs>
              <w:spacing w:line="360" w:lineRule="auto"/>
              <w:jc w:val="center"/>
              <w:rPr>
                <w:rFonts w:ascii="宋体" w:hAnsi="宋体"/>
                <w:color w:val="auto"/>
                <w:sz w:val="24"/>
                <w:highlight w:val="none"/>
              </w:rPr>
            </w:pPr>
          </w:p>
        </w:tc>
        <w:tc>
          <w:tcPr>
            <w:tcW w:w="1701" w:type="dxa"/>
          </w:tcPr>
          <w:p w14:paraId="7C9CAE84">
            <w:pPr>
              <w:tabs>
                <w:tab w:val="left" w:pos="720"/>
              </w:tabs>
              <w:spacing w:line="360" w:lineRule="auto"/>
              <w:jc w:val="center"/>
              <w:rPr>
                <w:rFonts w:ascii="宋体" w:hAnsi="宋体"/>
                <w:color w:val="auto"/>
                <w:sz w:val="24"/>
                <w:highlight w:val="none"/>
              </w:rPr>
            </w:pPr>
          </w:p>
        </w:tc>
        <w:tc>
          <w:tcPr>
            <w:tcW w:w="1701" w:type="dxa"/>
            <w:vAlign w:val="center"/>
          </w:tcPr>
          <w:p w14:paraId="0C0EA994">
            <w:pPr>
              <w:tabs>
                <w:tab w:val="left" w:pos="720"/>
              </w:tabs>
              <w:spacing w:line="360" w:lineRule="auto"/>
              <w:jc w:val="center"/>
              <w:rPr>
                <w:rFonts w:ascii="宋体" w:hAnsi="宋体"/>
                <w:color w:val="auto"/>
                <w:sz w:val="24"/>
                <w:highlight w:val="none"/>
              </w:rPr>
            </w:pPr>
          </w:p>
        </w:tc>
        <w:tc>
          <w:tcPr>
            <w:tcW w:w="2126" w:type="dxa"/>
            <w:vAlign w:val="center"/>
          </w:tcPr>
          <w:p w14:paraId="39F06A25">
            <w:pPr>
              <w:tabs>
                <w:tab w:val="left" w:pos="720"/>
              </w:tabs>
              <w:spacing w:line="360" w:lineRule="auto"/>
              <w:jc w:val="center"/>
              <w:rPr>
                <w:rFonts w:ascii="宋体" w:hAnsi="宋体"/>
                <w:color w:val="auto"/>
                <w:sz w:val="24"/>
                <w:highlight w:val="none"/>
              </w:rPr>
            </w:pPr>
          </w:p>
        </w:tc>
      </w:tr>
      <w:tr w14:paraId="71DD8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6" w:type="dxa"/>
            <w:vAlign w:val="center"/>
          </w:tcPr>
          <w:p w14:paraId="7D2C8AE3">
            <w:pPr>
              <w:tabs>
                <w:tab w:val="left" w:pos="720"/>
              </w:tabs>
              <w:spacing w:line="360" w:lineRule="auto"/>
              <w:jc w:val="center"/>
              <w:rPr>
                <w:rFonts w:ascii="宋体" w:hAnsi="宋体"/>
                <w:color w:val="auto"/>
                <w:sz w:val="24"/>
                <w:highlight w:val="none"/>
              </w:rPr>
            </w:pPr>
          </w:p>
        </w:tc>
        <w:tc>
          <w:tcPr>
            <w:tcW w:w="2405" w:type="dxa"/>
            <w:vAlign w:val="center"/>
          </w:tcPr>
          <w:p w14:paraId="74BD1FE7">
            <w:pPr>
              <w:tabs>
                <w:tab w:val="left" w:pos="720"/>
              </w:tabs>
              <w:spacing w:line="360" w:lineRule="auto"/>
              <w:jc w:val="center"/>
              <w:rPr>
                <w:rFonts w:ascii="宋体" w:hAnsi="宋体"/>
                <w:color w:val="auto"/>
                <w:sz w:val="24"/>
                <w:highlight w:val="none"/>
              </w:rPr>
            </w:pPr>
          </w:p>
        </w:tc>
        <w:tc>
          <w:tcPr>
            <w:tcW w:w="1701" w:type="dxa"/>
          </w:tcPr>
          <w:p w14:paraId="56A24E0D">
            <w:pPr>
              <w:tabs>
                <w:tab w:val="left" w:pos="720"/>
              </w:tabs>
              <w:spacing w:line="360" w:lineRule="auto"/>
              <w:jc w:val="center"/>
              <w:rPr>
                <w:rFonts w:ascii="宋体" w:hAnsi="宋体"/>
                <w:color w:val="auto"/>
                <w:sz w:val="24"/>
                <w:highlight w:val="none"/>
              </w:rPr>
            </w:pPr>
          </w:p>
        </w:tc>
        <w:tc>
          <w:tcPr>
            <w:tcW w:w="1701" w:type="dxa"/>
            <w:vAlign w:val="center"/>
          </w:tcPr>
          <w:p w14:paraId="7EA6D675">
            <w:pPr>
              <w:tabs>
                <w:tab w:val="left" w:pos="720"/>
              </w:tabs>
              <w:spacing w:line="360" w:lineRule="auto"/>
              <w:jc w:val="center"/>
              <w:rPr>
                <w:rFonts w:ascii="宋体" w:hAnsi="宋体"/>
                <w:color w:val="auto"/>
                <w:sz w:val="24"/>
                <w:highlight w:val="none"/>
              </w:rPr>
            </w:pPr>
          </w:p>
        </w:tc>
        <w:tc>
          <w:tcPr>
            <w:tcW w:w="2126" w:type="dxa"/>
            <w:vAlign w:val="center"/>
          </w:tcPr>
          <w:p w14:paraId="7E8B2D26">
            <w:pPr>
              <w:tabs>
                <w:tab w:val="left" w:pos="720"/>
              </w:tabs>
              <w:spacing w:line="360" w:lineRule="auto"/>
              <w:jc w:val="center"/>
              <w:rPr>
                <w:rFonts w:ascii="宋体" w:hAnsi="宋体"/>
                <w:color w:val="auto"/>
                <w:sz w:val="24"/>
                <w:highlight w:val="none"/>
              </w:rPr>
            </w:pPr>
          </w:p>
        </w:tc>
      </w:tr>
      <w:tr w14:paraId="072F4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6" w:type="dxa"/>
            <w:vAlign w:val="center"/>
          </w:tcPr>
          <w:p w14:paraId="4DF72222">
            <w:pPr>
              <w:tabs>
                <w:tab w:val="left" w:pos="720"/>
              </w:tabs>
              <w:spacing w:line="360" w:lineRule="auto"/>
              <w:jc w:val="center"/>
              <w:rPr>
                <w:rFonts w:ascii="宋体" w:hAnsi="宋体"/>
                <w:color w:val="auto"/>
                <w:sz w:val="24"/>
                <w:highlight w:val="none"/>
              </w:rPr>
            </w:pPr>
          </w:p>
        </w:tc>
        <w:tc>
          <w:tcPr>
            <w:tcW w:w="2405" w:type="dxa"/>
            <w:vAlign w:val="center"/>
          </w:tcPr>
          <w:p w14:paraId="3AE25ABC">
            <w:pPr>
              <w:tabs>
                <w:tab w:val="left" w:pos="720"/>
              </w:tabs>
              <w:spacing w:line="360" w:lineRule="auto"/>
              <w:jc w:val="center"/>
              <w:rPr>
                <w:rFonts w:ascii="宋体" w:hAnsi="宋体"/>
                <w:color w:val="auto"/>
                <w:sz w:val="24"/>
                <w:highlight w:val="none"/>
              </w:rPr>
            </w:pPr>
          </w:p>
        </w:tc>
        <w:tc>
          <w:tcPr>
            <w:tcW w:w="1701" w:type="dxa"/>
          </w:tcPr>
          <w:p w14:paraId="753B9334">
            <w:pPr>
              <w:tabs>
                <w:tab w:val="left" w:pos="720"/>
              </w:tabs>
              <w:spacing w:line="360" w:lineRule="auto"/>
              <w:jc w:val="center"/>
              <w:rPr>
                <w:rFonts w:ascii="宋体" w:hAnsi="宋体"/>
                <w:color w:val="auto"/>
                <w:sz w:val="24"/>
                <w:highlight w:val="none"/>
              </w:rPr>
            </w:pPr>
          </w:p>
        </w:tc>
        <w:tc>
          <w:tcPr>
            <w:tcW w:w="1701" w:type="dxa"/>
            <w:vAlign w:val="center"/>
          </w:tcPr>
          <w:p w14:paraId="30BAD786">
            <w:pPr>
              <w:tabs>
                <w:tab w:val="left" w:pos="720"/>
              </w:tabs>
              <w:spacing w:line="360" w:lineRule="auto"/>
              <w:jc w:val="center"/>
              <w:rPr>
                <w:rFonts w:ascii="宋体" w:hAnsi="宋体"/>
                <w:color w:val="auto"/>
                <w:sz w:val="24"/>
                <w:highlight w:val="none"/>
              </w:rPr>
            </w:pPr>
          </w:p>
        </w:tc>
        <w:tc>
          <w:tcPr>
            <w:tcW w:w="2126" w:type="dxa"/>
            <w:vAlign w:val="center"/>
          </w:tcPr>
          <w:p w14:paraId="0C9BB4B8">
            <w:pPr>
              <w:tabs>
                <w:tab w:val="left" w:pos="720"/>
              </w:tabs>
              <w:spacing w:line="360" w:lineRule="auto"/>
              <w:jc w:val="center"/>
              <w:rPr>
                <w:rFonts w:ascii="宋体" w:hAnsi="宋体"/>
                <w:color w:val="auto"/>
                <w:sz w:val="24"/>
                <w:highlight w:val="none"/>
              </w:rPr>
            </w:pPr>
          </w:p>
        </w:tc>
      </w:tr>
      <w:tr w14:paraId="44EE0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6" w:type="dxa"/>
            <w:vAlign w:val="center"/>
          </w:tcPr>
          <w:p w14:paraId="0C9E28B0">
            <w:pPr>
              <w:tabs>
                <w:tab w:val="left" w:pos="720"/>
              </w:tabs>
              <w:spacing w:line="360" w:lineRule="auto"/>
              <w:jc w:val="center"/>
              <w:rPr>
                <w:rFonts w:ascii="宋体" w:hAnsi="宋体"/>
                <w:color w:val="auto"/>
                <w:sz w:val="24"/>
                <w:highlight w:val="none"/>
              </w:rPr>
            </w:pPr>
          </w:p>
        </w:tc>
        <w:tc>
          <w:tcPr>
            <w:tcW w:w="2405" w:type="dxa"/>
            <w:vAlign w:val="center"/>
          </w:tcPr>
          <w:p w14:paraId="19F57449">
            <w:pPr>
              <w:tabs>
                <w:tab w:val="left" w:pos="720"/>
              </w:tabs>
              <w:spacing w:line="360" w:lineRule="auto"/>
              <w:jc w:val="center"/>
              <w:rPr>
                <w:rFonts w:ascii="宋体" w:hAnsi="宋体"/>
                <w:color w:val="auto"/>
                <w:sz w:val="24"/>
                <w:highlight w:val="none"/>
              </w:rPr>
            </w:pPr>
          </w:p>
        </w:tc>
        <w:tc>
          <w:tcPr>
            <w:tcW w:w="1701" w:type="dxa"/>
          </w:tcPr>
          <w:p w14:paraId="7575DF57">
            <w:pPr>
              <w:tabs>
                <w:tab w:val="left" w:pos="720"/>
              </w:tabs>
              <w:spacing w:line="360" w:lineRule="auto"/>
              <w:jc w:val="center"/>
              <w:rPr>
                <w:rFonts w:ascii="宋体" w:hAnsi="宋体"/>
                <w:color w:val="auto"/>
                <w:sz w:val="24"/>
                <w:highlight w:val="none"/>
              </w:rPr>
            </w:pPr>
          </w:p>
        </w:tc>
        <w:tc>
          <w:tcPr>
            <w:tcW w:w="1701" w:type="dxa"/>
            <w:vAlign w:val="center"/>
          </w:tcPr>
          <w:p w14:paraId="4856B08A">
            <w:pPr>
              <w:tabs>
                <w:tab w:val="left" w:pos="720"/>
              </w:tabs>
              <w:spacing w:line="360" w:lineRule="auto"/>
              <w:jc w:val="center"/>
              <w:rPr>
                <w:rFonts w:ascii="宋体" w:hAnsi="宋体"/>
                <w:color w:val="auto"/>
                <w:sz w:val="24"/>
                <w:highlight w:val="none"/>
              </w:rPr>
            </w:pPr>
          </w:p>
        </w:tc>
        <w:tc>
          <w:tcPr>
            <w:tcW w:w="2126" w:type="dxa"/>
            <w:vAlign w:val="center"/>
          </w:tcPr>
          <w:p w14:paraId="4C216FEE">
            <w:pPr>
              <w:tabs>
                <w:tab w:val="left" w:pos="720"/>
              </w:tabs>
              <w:spacing w:line="360" w:lineRule="auto"/>
              <w:jc w:val="center"/>
              <w:rPr>
                <w:rFonts w:ascii="宋体" w:hAnsi="宋体"/>
                <w:color w:val="auto"/>
                <w:sz w:val="24"/>
                <w:highlight w:val="none"/>
              </w:rPr>
            </w:pPr>
          </w:p>
        </w:tc>
      </w:tr>
      <w:tr w14:paraId="0DDF5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6" w:type="dxa"/>
            <w:vAlign w:val="center"/>
          </w:tcPr>
          <w:p w14:paraId="729932C6">
            <w:pPr>
              <w:tabs>
                <w:tab w:val="left" w:pos="720"/>
              </w:tabs>
              <w:spacing w:line="360" w:lineRule="auto"/>
              <w:jc w:val="center"/>
              <w:rPr>
                <w:rFonts w:ascii="宋体" w:hAnsi="宋体"/>
                <w:color w:val="auto"/>
                <w:sz w:val="24"/>
                <w:highlight w:val="none"/>
              </w:rPr>
            </w:pPr>
          </w:p>
        </w:tc>
        <w:tc>
          <w:tcPr>
            <w:tcW w:w="2405" w:type="dxa"/>
            <w:vAlign w:val="center"/>
          </w:tcPr>
          <w:p w14:paraId="6FE70979">
            <w:pPr>
              <w:tabs>
                <w:tab w:val="left" w:pos="720"/>
              </w:tabs>
              <w:spacing w:line="360" w:lineRule="auto"/>
              <w:jc w:val="center"/>
              <w:rPr>
                <w:rFonts w:ascii="宋体" w:hAnsi="宋体"/>
                <w:color w:val="auto"/>
                <w:sz w:val="24"/>
                <w:highlight w:val="none"/>
              </w:rPr>
            </w:pPr>
          </w:p>
        </w:tc>
        <w:tc>
          <w:tcPr>
            <w:tcW w:w="1701" w:type="dxa"/>
          </w:tcPr>
          <w:p w14:paraId="679FE659">
            <w:pPr>
              <w:tabs>
                <w:tab w:val="left" w:pos="720"/>
              </w:tabs>
              <w:spacing w:line="360" w:lineRule="auto"/>
              <w:ind w:left="420"/>
              <w:jc w:val="center"/>
              <w:rPr>
                <w:rFonts w:ascii="宋体" w:hAnsi="宋体"/>
                <w:color w:val="auto"/>
                <w:sz w:val="24"/>
                <w:highlight w:val="none"/>
              </w:rPr>
            </w:pPr>
          </w:p>
        </w:tc>
        <w:tc>
          <w:tcPr>
            <w:tcW w:w="1701" w:type="dxa"/>
            <w:vAlign w:val="center"/>
          </w:tcPr>
          <w:p w14:paraId="6FBFF153">
            <w:pPr>
              <w:tabs>
                <w:tab w:val="left" w:pos="720"/>
              </w:tabs>
              <w:spacing w:line="360" w:lineRule="auto"/>
              <w:ind w:left="420"/>
              <w:jc w:val="center"/>
              <w:rPr>
                <w:rFonts w:ascii="宋体" w:hAnsi="宋体"/>
                <w:color w:val="auto"/>
                <w:sz w:val="24"/>
                <w:highlight w:val="none"/>
              </w:rPr>
            </w:pPr>
          </w:p>
        </w:tc>
        <w:tc>
          <w:tcPr>
            <w:tcW w:w="2126" w:type="dxa"/>
            <w:vAlign w:val="center"/>
          </w:tcPr>
          <w:p w14:paraId="0D47CA32">
            <w:pPr>
              <w:tabs>
                <w:tab w:val="left" w:pos="720"/>
              </w:tabs>
              <w:spacing w:line="360" w:lineRule="auto"/>
              <w:ind w:left="420"/>
              <w:jc w:val="center"/>
              <w:rPr>
                <w:rFonts w:ascii="宋体" w:hAnsi="宋体"/>
                <w:color w:val="auto"/>
                <w:sz w:val="24"/>
                <w:highlight w:val="none"/>
              </w:rPr>
            </w:pPr>
          </w:p>
        </w:tc>
      </w:tr>
      <w:tr w14:paraId="1F5C7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6" w:type="dxa"/>
            <w:vAlign w:val="center"/>
          </w:tcPr>
          <w:p w14:paraId="1B7CB4FD">
            <w:pPr>
              <w:tabs>
                <w:tab w:val="left" w:pos="720"/>
              </w:tabs>
              <w:spacing w:line="360" w:lineRule="auto"/>
              <w:jc w:val="center"/>
              <w:rPr>
                <w:rFonts w:ascii="宋体" w:hAnsi="宋体"/>
                <w:color w:val="auto"/>
                <w:sz w:val="24"/>
                <w:highlight w:val="none"/>
              </w:rPr>
            </w:pPr>
          </w:p>
        </w:tc>
        <w:tc>
          <w:tcPr>
            <w:tcW w:w="2405" w:type="dxa"/>
            <w:vAlign w:val="center"/>
          </w:tcPr>
          <w:p w14:paraId="23BD6C9B">
            <w:pPr>
              <w:tabs>
                <w:tab w:val="left" w:pos="720"/>
              </w:tabs>
              <w:spacing w:line="360" w:lineRule="auto"/>
              <w:jc w:val="center"/>
              <w:rPr>
                <w:rFonts w:ascii="宋体" w:hAnsi="宋体"/>
                <w:color w:val="auto"/>
                <w:sz w:val="24"/>
                <w:highlight w:val="none"/>
              </w:rPr>
            </w:pPr>
          </w:p>
        </w:tc>
        <w:tc>
          <w:tcPr>
            <w:tcW w:w="1701" w:type="dxa"/>
          </w:tcPr>
          <w:p w14:paraId="32F6B9F5">
            <w:pPr>
              <w:tabs>
                <w:tab w:val="left" w:pos="720"/>
              </w:tabs>
              <w:spacing w:line="360" w:lineRule="auto"/>
              <w:ind w:left="420"/>
              <w:jc w:val="center"/>
              <w:rPr>
                <w:rFonts w:ascii="宋体" w:hAnsi="宋体"/>
                <w:color w:val="auto"/>
                <w:sz w:val="24"/>
                <w:highlight w:val="none"/>
              </w:rPr>
            </w:pPr>
          </w:p>
        </w:tc>
        <w:tc>
          <w:tcPr>
            <w:tcW w:w="1701" w:type="dxa"/>
            <w:vAlign w:val="center"/>
          </w:tcPr>
          <w:p w14:paraId="473F9BE2">
            <w:pPr>
              <w:tabs>
                <w:tab w:val="left" w:pos="720"/>
              </w:tabs>
              <w:spacing w:line="360" w:lineRule="auto"/>
              <w:ind w:left="420"/>
              <w:jc w:val="center"/>
              <w:rPr>
                <w:rFonts w:ascii="宋体" w:hAnsi="宋体"/>
                <w:color w:val="auto"/>
                <w:sz w:val="24"/>
                <w:highlight w:val="none"/>
              </w:rPr>
            </w:pPr>
          </w:p>
        </w:tc>
        <w:tc>
          <w:tcPr>
            <w:tcW w:w="2126" w:type="dxa"/>
            <w:vAlign w:val="center"/>
          </w:tcPr>
          <w:p w14:paraId="7067744D">
            <w:pPr>
              <w:tabs>
                <w:tab w:val="left" w:pos="720"/>
              </w:tabs>
              <w:spacing w:line="360" w:lineRule="auto"/>
              <w:ind w:left="420"/>
              <w:jc w:val="center"/>
              <w:rPr>
                <w:rFonts w:ascii="宋体" w:hAnsi="宋体"/>
                <w:color w:val="auto"/>
                <w:sz w:val="24"/>
                <w:highlight w:val="none"/>
              </w:rPr>
            </w:pPr>
          </w:p>
        </w:tc>
      </w:tr>
      <w:tr w14:paraId="1BADF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6" w:type="dxa"/>
            <w:vAlign w:val="center"/>
          </w:tcPr>
          <w:p w14:paraId="79C4D87C">
            <w:pPr>
              <w:tabs>
                <w:tab w:val="left" w:pos="720"/>
              </w:tabs>
              <w:spacing w:line="360" w:lineRule="auto"/>
              <w:jc w:val="center"/>
              <w:rPr>
                <w:rFonts w:ascii="宋体" w:hAnsi="宋体"/>
                <w:color w:val="auto"/>
                <w:sz w:val="24"/>
                <w:highlight w:val="none"/>
              </w:rPr>
            </w:pPr>
          </w:p>
        </w:tc>
        <w:tc>
          <w:tcPr>
            <w:tcW w:w="2405" w:type="dxa"/>
            <w:vAlign w:val="center"/>
          </w:tcPr>
          <w:p w14:paraId="492BA86D">
            <w:pPr>
              <w:tabs>
                <w:tab w:val="left" w:pos="720"/>
              </w:tabs>
              <w:spacing w:line="360" w:lineRule="auto"/>
              <w:jc w:val="center"/>
              <w:rPr>
                <w:rFonts w:ascii="宋体" w:hAnsi="宋体"/>
                <w:color w:val="auto"/>
                <w:sz w:val="24"/>
                <w:highlight w:val="none"/>
              </w:rPr>
            </w:pPr>
          </w:p>
        </w:tc>
        <w:tc>
          <w:tcPr>
            <w:tcW w:w="1701" w:type="dxa"/>
          </w:tcPr>
          <w:p w14:paraId="02A2C666">
            <w:pPr>
              <w:tabs>
                <w:tab w:val="left" w:pos="720"/>
              </w:tabs>
              <w:spacing w:line="360" w:lineRule="auto"/>
              <w:jc w:val="center"/>
              <w:rPr>
                <w:rFonts w:ascii="宋体" w:hAnsi="宋体"/>
                <w:color w:val="auto"/>
                <w:sz w:val="24"/>
                <w:highlight w:val="none"/>
              </w:rPr>
            </w:pPr>
          </w:p>
        </w:tc>
        <w:tc>
          <w:tcPr>
            <w:tcW w:w="1701" w:type="dxa"/>
            <w:vAlign w:val="center"/>
          </w:tcPr>
          <w:p w14:paraId="693ABD04">
            <w:pPr>
              <w:tabs>
                <w:tab w:val="left" w:pos="720"/>
              </w:tabs>
              <w:spacing w:line="360" w:lineRule="auto"/>
              <w:jc w:val="center"/>
              <w:rPr>
                <w:rFonts w:ascii="宋体" w:hAnsi="宋体"/>
                <w:color w:val="auto"/>
                <w:sz w:val="24"/>
                <w:highlight w:val="none"/>
              </w:rPr>
            </w:pPr>
          </w:p>
        </w:tc>
        <w:tc>
          <w:tcPr>
            <w:tcW w:w="2126" w:type="dxa"/>
            <w:vAlign w:val="center"/>
          </w:tcPr>
          <w:p w14:paraId="60D1992B">
            <w:pPr>
              <w:tabs>
                <w:tab w:val="left" w:pos="720"/>
              </w:tabs>
              <w:spacing w:line="360" w:lineRule="auto"/>
              <w:jc w:val="center"/>
              <w:rPr>
                <w:rFonts w:ascii="宋体" w:hAnsi="宋体"/>
                <w:color w:val="auto"/>
                <w:sz w:val="24"/>
                <w:highlight w:val="none"/>
              </w:rPr>
            </w:pPr>
          </w:p>
        </w:tc>
      </w:tr>
      <w:tr w14:paraId="19C8A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6" w:type="dxa"/>
            <w:vAlign w:val="center"/>
          </w:tcPr>
          <w:p w14:paraId="5F200F50">
            <w:pPr>
              <w:tabs>
                <w:tab w:val="left" w:pos="720"/>
              </w:tabs>
              <w:spacing w:line="360" w:lineRule="auto"/>
              <w:jc w:val="center"/>
              <w:rPr>
                <w:rFonts w:ascii="宋体" w:hAnsi="宋体"/>
                <w:color w:val="auto"/>
                <w:sz w:val="24"/>
                <w:highlight w:val="none"/>
              </w:rPr>
            </w:pPr>
          </w:p>
        </w:tc>
        <w:tc>
          <w:tcPr>
            <w:tcW w:w="2405" w:type="dxa"/>
            <w:vAlign w:val="center"/>
          </w:tcPr>
          <w:p w14:paraId="3204DD8F">
            <w:pPr>
              <w:tabs>
                <w:tab w:val="left" w:pos="720"/>
              </w:tabs>
              <w:spacing w:line="360" w:lineRule="auto"/>
              <w:jc w:val="center"/>
              <w:rPr>
                <w:rFonts w:ascii="宋体" w:hAnsi="宋体"/>
                <w:color w:val="auto"/>
                <w:sz w:val="24"/>
                <w:highlight w:val="none"/>
              </w:rPr>
            </w:pPr>
          </w:p>
        </w:tc>
        <w:tc>
          <w:tcPr>
            <w:tcW w:w="1701" w:type="dxa"/>
          </w:tcPr>
          <w:p w14:paraId="48117825">
            <w:pPr>
              <w:tabs>
                <w:tab w:val="left" w:pos="720"/>
              </w:tabs>
              <w:spacing w:line="360" w:lineRule="auto"/>
              <w:jc w:val="center"/>
              <w:rPr>
                <w:rFonts w:ascii="宋体" w:hAnsi="宋体"/>
                <w:color w:val="auto"/>
                <w:sz w:val="24"/>
                <w:highlight w:val="none"/>
              </w:rPr>
            </w:pPr>
          </w:p>
        </w:tc>
        <w:tc>
          <w:tcPr>
            <w:tcW w:w="1701" w:type="dxa"/>
            <w:vAlign w:val="center"/>
          </w:tcPr>
          <w:p w14:paraId="47A629BA">
            <w:pPr>
              <w:tabs>
                <w:tab w:val="left" w:pos="720"/>
              </w:tabs>
              <w:spacing w:line="360" w:lineRule="auto"/>
              <w:jc w:val="center"/>
              <w:rPr>
                <w:rFonts w:ascii="宋体" w:hAnsi="宋体"/>
                <w:color w:val="auto"/>
                <w:sz w:val="24"/>
                <w:highlight w:val="none"/>
              </w:rPr>
            </w:pPr>
          </w:p>
        </w:tc>
        <w:tc>
          <w:tcPr>
            <w:tcW w:w="2126" w:type="dxa"/>
            <w:vAlign w:val="center"/>
          </w:tcPr>
          <w:p w14:paraId="1A70AFEE">
            <w:pPr>
              <w:tabs>
                <w:tab w:val="left" w:pos="720"/>
              </w:tabs>
              <w:spacing w:line="360" w:lineRule="auto"/>
              <w:jc w:val="center"/>
              <w:rPr>
                <w:rFonts w:ascii="宋体" w:hAnsi="宋体"/>
                <w:color w:val="auto"/>
                <w:sz w:val="24"/>
                <w:highlight w:val="none"/>
              </w:rPr>
            </w:pPr>
          </w:p>
        </w:tc>
      </w:tr>
      <w:tr w14:paraId="49FCF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6" w:type="dxa"/>
            <w:vAlign w:val="center"/>
          </w:tcPr>
          <w:p w14:paraId="6E209818">
            <w:pPr>
              <w:tabs>
                <w:tab w:val="left" w:pos="720"/>
              </w:tabs>
              <w:spacing w:line="360" w:lineRule="auto"/>
              <w:jc w:val="center"/>
              <w:rPr>
                <w:rFonts w:ascii="宋体" w:hAnsi="宋体"/>
                <w:color w:val="auto"/>
                <w:sz w:val="24"/>
                <w:highlight w:val="none"/>
              </w:rPr>
            </w:pPr>
          </w:p>
        </w:tc>
        <w:tc>
          <w:tcPr>
            <w:tcW w:w="2405" w:type="dxa"/>
            <w:vAlign w:val="center"/>
          </w:tcPr>
          <w:p w14:paraId="77EF250F">
            <w:pPr>
              <w:tabs>
                <w:tab w:val="left" w:pos="720"/>
              </w:tabs>
              <w:spacing w:line="360" w:lineRule="auto"/>
              <w:jc w:val="center"/>
              <w:rPr>
                <w:rFonts w:ascii="宋体" w:hAnsi="宋体"/>
                <w:color w:val="auto"/>
                <w:sz w:val="24"/>
                <w:highlight w:val="none"/>
              </w:rPr>
            </w:pPr>
          </w:p>
        </w:tc>
        <w:tc>
          <w:tcPr>
            <w:tcW w:w="1701" w:type="dxa"/>
          </w:tcPr>
          <w:p w14:paraId="79170ED3">
            <w:pPr>
              <w:tabs>
                <w:tab w:val="left" w:pos="720"/>
              </w:tabs>
              <w:spacing w:line="360" w:lineRule="auto"/>
              <w:jc w:val="center"/>
              <w:rPr>
                <w:rFonts w:ascii="宋体" w:hAnsi="宋体"/>
                <w:color w:val="auto"/>
                <w:sz w:val="24"/>
                <w:highlight w:val="none"/>
              </w:rPr>
            </w:pPr>
          </w:p>
        </w:tc>
        <w:tc>
          <w:tcPr>
            <w:tcW w:w="1701" w:type="dxa"/>
            <w:vAlign w:val="center"/>
          </w:tcPr>
          <w:p w14:paraId="4553F16A">
            <w:pPr>
              <w:tabs>
                <w:tab w:val="left" w:pos="720"/>
              </w:tabs>
              <w:spacing w:line="360" w:lineRule="auto"/>
              <w:jc w:val="center"/>
              <w:rPr>
                <w:rFonts w:ascii="宋体" w:hAnsi="宋体"/>
                <w:color w:val="auto"/>
                <w:sz w:val="24"/>
                <w:highlight w:val="none"/>
              </w:rPr>
            </w:pPr>
          </w:p>
        </w:tc>
        <w:tc>
          <w:tcPr>
            <w:tcW w:w="2126" w:type="dxa"/>
            <w:vAlign w:val="center"/>
          </w:tcPr>
          <w:p w14:paraId="02AE1208">
            <w:pPr>
              <w:tabs>
                <w:tab w:val="left" w:pos="720"/>
              </w:tabs>
              <w:spacing w:line="360" w:lineRule="auto"/>
              <w:jc w:val="center"/>
              <w:rPr>
                <w:rFonts w:ascii="宋体" w:hAnsi="宋体"/>
                <w:color w:val="auto"/>
                <w:sz w:val="24"/>
                <w:highlight w:val="none"/>
              </w:rPr>
            </w:pPr>
          </w:p>
        </w:tc>
      </w:tr>
    </w:tbl>
    <w:p w14:paraId="7190DFC9">
      <w:pPr>
        <w:pStyle w:val="6"/>
        <w:jc w:val="center"/>
        <w:rPr>
          <w:color w:val="auto"/>
          <w:highlight w:val="none"/>
        </w:rPr>
      </w:pPr>
      <w:r>
        <w:rPr>
          <w:color w:val="auto"/>
          <w:highlight w:val="none"/>
        </w:rPr>
        <w:br w:type="page"/>
      </w:r>
      <w:bookmarkStart w:id="162" w:name="_Toc27847"/>
      <w:r>
        <w:rPr>
          <w:rFonts w:hint="eastAsia"/>
          <w:color w:val="auto"/>
          <w:highlight w:val="none"/>
        </w:rPr>
        <w:t>二</w:t>
      </w:r>
      <w:r>
        <w:rPr>
          <w:color w:val="auto"/>
          <w:highlight w:val="none"/>
        </w:rPr>
        <w:t>、竞争性谈判</w:t>
      </w:r>
      <w:r>
        <w:rPr>
          <w:rFonts w:hint="eastAsia"/>
          <w:color w:val="auto"/>
          <w:highlight w:val="none"/>
        </w:rPr>
        <w:t>响应</w:t>
      </w:r>
      <w:r>
        <w:rPr>
          <w:color w:val="auto"/>
          <w:highlight w:val="none"/>
        </w:rPr>
        <w:t>函</w:t>
      </w:r>
      <w:bookmarkEnd w:id="152"/>
      <w:bookmarkEnd w:id="153"/>
      <w:bookmarkEnd w:id="154"/>
      <w:bookmarkEnd w:id="155"/>
      <w:bookmarkEnd w:id="156"/>
      <w:bookmarkEnd w:id="157"/>
      <w:bookmarkEnd w:id="158"/>
      <w:bookmarkEnd w:id="161"/>
      <w:bookmarkEnd w:id="162"/>
    </w:p>
    <w:p w14:paraId="1CBE0301">
      <w:pPr>
        <w:spacing w:line="400" w:lineRule="exact"/>
        <w:rPr>
          <w:color w:val="auto"/>
          <w:szCs w:val="21"/>
          <w:highlight w:val="none"/>
        </w:rPr>
      </w:pPr>
      <w:r>
        <w:rPr>
          <w:rFonts w:hint="eastAsia"/>
          <w:color w:val="auto"/>
          <w:szCs w:val="21"/>
          <w:highlight w:val="none"/>
        </w:rPr>
        <w:t>致：</w:t>
      </w:r>
      <w:r>
        <w:rPr>
          <w:color w:val="auto"/>
          <w:szCs w:val="21"/>
          <w:highlight w:val="none"/>
          <w:u w:val="single"/>
        </w:rPr>
        <w:t xml:space="preserve">       （采购人名称）</w:t>
      </w:r>
      <w:r>
        <w:rPr>
          <w:rFonts w:hint="eastAsia"/>
          <w:color w:val="auto"/>
          <w:szCs w:val="21"/>
          <w:highlight w:val="none"/>
          <w:u w:val="single"/>
        </w:rPr>
        <w:t xml:space="preserve">        </w:t>
      </w:r>
      <w:r>
        <w:rPr>
          <w:color w:val="auto"/>
          <w:szCs w:val="21"/>
          <w:highlight w:val="none"/>
        </w:rPr>
        <w:t>：</w:t>
      </w:r>
    </w:p>
    <w:p w14:paraId="08B12654">
      <w:pPr>
        <w:spacing w:line="400" w:lineRule="exact"/>
        <w:ind w:firstLine="422" w:firstLineChars="200"/>
        <w:rPr>
          <w:color w:val="auto"/>
          <w:szCs w:val="21"/>
          <w:highlight w:val="none"/>
        </w:rPr>
      </w:pPr>
      <w:r>
        <w:rPr>
          <w:b/>
          <w:color w:val="auto"/>
          <w:szCs w:val="21"/>
          <w:highlight w:val="none"/>
          <w:u w:val="single"/>
        </w:rPr>
        <w:t xml:space="preserve"> </w:t>
      </w:r>
      <w:r>
        <w:rPr>
          <w:rFonts w:hint="eastAsia"/>
          <w:color w:val="auto"/>
          <w:szCs w:val="21"/>
          <w:highlight w:val="none"/>
          <w:u w:val="single"/>
        </w:rPr>
        <w:t>（响应人名称）（以下简称我方）</w:t>
      </w:r>
      <w:r>
        <w:rPr>
          <w:color w:val="auto"/>
          <w:szCs w:val="21"/>
          <w:highlight w:val="none"/>
        </w:rPr>
        <w:t>已仔细研究了</w:t>
      </w:r>
      <w:r>
        <w:rPr>
          <w:color w:val="auto"/>
          <w:szCs w:val="21"/>
          <w:highlight w:val="none"/>
          <w:u w:val="single"/>
        </w:rPr>
        <w:t xml:space="preserve"> （项目名称）</w:t>
      </w:r>
      <w:r>
        <w:rPr>
          <w:rFonts w:hint="eastAsia"/>
          <w:color w:val="auto"/>
          <w:szCs w:val="21"/>
          <w:highlight w:val="none"/>
          <w:u w:val="single"/>
          <w:lang w:val="en-US" w:eastAsia="zh-CN"/>
        </w:rPr>
        <w:t xml:space="preserve">      </w:t>
      </w:r>
      <w:r>
        <w:rPr>
          <w:rFonts w:hint="eastAsia"/>
          <w:color w:val="auto"/>
          <w:szCs w:val="21"/>
          <w:highlight w:val="none"/>
          <w:u w:val="single"/>
        </w:rPr>
        <w:t>（</w:t>
      </w:r>
      <w:r>
        <w:rPr>
          <w:rFonts w:hint="eastAsia"/>
          <w:color w:val="auto"/>
          <w:szCs w:val="21"/>
          <w:highlight w:val="none"/>
          <w:lang w:val="en-US" w:eastAsia="zh-CN"/>
        </w:rPr>
        <w:t>项目</w:t>
      </w:r>
      <w:r>
        <w:rPr>
          <w:rFonts w:hint="eastAsia"/>
          <w:color w:val="auto"/>
          <w:szCs w:val="21"/>
          <w:highlight w:val="none"/>
        </w:rPr>
        <w:t>编号：</w:t>
      </w:r>
      <w:r>
        <w:rPr>
          <w:rFonts w:hint="eastAsia"/>
          <w:color w:val="auto"/>
          <w:szCs w:val="21"/>
          <w:highlight w:val="none"/>
          <w:u w:val="single"/>
        </w:rPr>
        <w:t xml:space="preserve">   </w:t>
      </w:r>
      <w:r>
        <w:rPr>
          <w:rFonts w:hint="eastAsia"/>
          <w:color w:val="auto"/>
          <w:szCs w:val="21"/>
          <w:highlight w:val="none"/>
          <w:u w:val="single"/>
          <w:lang w:val="en-US" w:eastAsia="zh-CN"/>
        </w:rPr>
        <w:t xml:space="preserve"> </w:t>
      </w:r>
      <w:r>
        <w:rPr>
          <w:rFonts w:hint="eastAsia"/>
          <w:color w:val="auto"/>
          <w:szCs w:val="21"/>
          <w:highlight w:val="none"/>
          <w:u w:val="single"/>
        </w:rPr>
        <w:t xml:space="preserve"> 标包：  ）</w:t>
      </w:r>
      <w:r>
        <w:rPr>
          <w:color w:val="auto"/>
          <w:szCs w:val="21"/>
          <w:highlight w:val="none"/>
        </w:rPr>
        <w:t>竞争性谈判文件的全部内容</w:t>
      </w:r>
      <w:r>
        <w:rPr>
          <w:rFonts w:hint="eastAsia"/>
          <w:color w:val="auto"/>
          <w:szCs w:val="21"/>
          <w:highlight w:val="none"/>
        </w:rPr>
        <w:t>，</w:t>
      </w:r>
      <w:r>
        <w:rPr>
          <w:rFonts w:hAnsi="宋体"/>
          <w:bCs/>
          <w:color w:val="auto"/>
          <w:szCs w:val="21"/>
          <w:highlight w:val="none"/>
        </w:rPr>
        <w:t>包括</w:t>
      </w:r>
      <w:r>
        <w:rPr>
          <w:rFonts w:hint="eastAsia" w:hAnsi="宋体"/>
          <w:bCs/>
          <w:color w:val="auto"/>
          <w:szCs w:val="21"/>
          <w:highlight w:val="none"/>
        </w:rPr>
        <w:t>澄清、</w:t>
      </w:r>
      <w:r>
        <w:rPr>
          <w:rFonts w:hAnsi="宋体"/>
          <w:bCs/>
          <w:color w:val="auto"/>
          <w:szCs w:val="21"/>
          <w:highlight w:val="none"/>
        </w:rPr>
        <w:t>修改文件</w:t>
      </w:r>
      <w:r>
        <w:rPr>
          <w:rFonts w:hint="eastAsia" w:hAnsi="宋体"/>
          <w:bCs/>
          <w:color w:val="auto"/>
          <w:szCs w:val="21"/>
          <w:highlight w:val="none"/>
        </w:rPr>
        <w:t>以</w:t>
      </w:r>
      <w:r>
        <w:rPr>
          <w:rFonts w:hAnsi="宋体"/>
          <w:bCs/>
          <w:color w:val="auto"/>
          <w:szCs w:val="21"/>
          <w:highlight w:val="none"/>
        </w:rPr>
        <w:t>及有关附件</w:t>
      </w:r>
      <w:r>
        <w:rPr>
          <w:color w:val="auto"/>
          <w:szCs w:val="21"/>
          <w:highlight w:val="none"/>
        </w:rPr>
        <w:t>，</w:t>
      </w:r>
      <w:r>
        <w:rPr>
          <w:color w:val="auto"/>
          <w:szCs w:val="21"/>
          <w:highlight w:val="none"/>
          <w:u w:val="single"/>
        </w:rPr>
        <w:t>愿意以</w:t>
      </w:r>
      <w:r>
        <w:rPr>
          <w:rFonts w:hint="eastAsia"/>
          <w:color w:val="auto"/>
          <w:szCs w:val="21"/>
          <w:highlight w:val="none"/>
          <w:u w:val="single"/>
        </w:rPr>
        <w:t>《报价一览表》的价格</w:t>
      </w:r>
      <w:r>
        <w:rPr>
          <w:rFonts w:hint="eastAsia"/>
          <w:color w:val="auto"/>
          <w:szCs w:val="21"/>
          <w:highlight w:val="none"/>
        </w:rPr>
        <w:t>，</w:t>
      </w:r>
      <w:r>
        <w:rPr>
          <w:color w:val="auto"/>
          <w:szCs w:val="21"/>
          <w:highlight w:val="none"/>
        </w:rPr>
        <w:t>按合同约定实施和完成</w:t>
      </w:r>
      <w:r>
        <w:rPr>
          <w:rFonts w:hint="eastAsia"/>
          <w:color w:val="auto"/>
          <w:szCs w:val="21"/>
          <w:highlight w:val="none"/>
        </w:rPr>
        <w:t>上述</w:t>
      </w:r>
      <w:r>
        <w:rPr>
          <w:color w:val="auto"/>
          <w:szCs w:val="21"/>
          <w:highlight w:val="none"/>
        </w:rPr>
        <w:t>项目的相关服务。</w:t>
      </w:r>
    </w:p>
    <w:p w14:paraId="3E862675">
      <w:pPr>
        <w:spacing w:line="400" w:lineRule="exact"/>
        <w:ind w:firstLine="420" w:firstLineChars="200"/>
        <w:rPr>
          <w:color w:val="auto"/>
          <w:szCs w:val="21"/>
          <w:highlight w:val="none"/>
        </w:rPr>
      </w:pPr>
      <w:r>
        <w:rPr>
          <w:rFonts w:hint="eastAsia"/>
          <w:color w:val="auto"/>
          <w:szCs w:val="21"/>
          <w:highlight w:val="none"/>
        </w:rPr>
        <w:t>我方承诺如下内容：</w:t>
      </w:r>
    </w:p>
    <w:p w14:paraId="7C87F4CE">
      <w:pPr>
        <w:spacing w:line="400" w:lineRule="exact"/>
        <w:ind w:firstLine="420" w:firstLineChars="200"/>
        <w:rPr>
          <w:color w:val="auto"/>
          <w:szCs w:val="21"/>
          <w:highlight w:val="none"/>
        </w:rPr>
      </w:pPr>
      <w:r>
        <w:rPr>
          <w:rFonts w:hint="eastAsia"/>
          <w:color w:val="auto"/>
          <w:szCs w:val="21"/>
          <w:highlight w:val="none"/>
        </w:rPr>
        <w:t>1.我方的响应文件包含第二章“竞争性谈判响应须知”第</w:t>
      </w:r>
      <w:r>
        <w:rPr>
          <w:color w:val="auto"/>
          <w:highlight w:val="none"/>
        </w:rPr>
        <w:t>3.1</w:t>
      </w:r>
      <w:r>
        <w:rPr>
          <w:rFonts w:hint="eastAsia"/>
          <w:color w:val="auto"/>
          <w:szCs w:val="21"/>
          <w:highlight w:val="none"/>
        </w:rPr>
        <w:t>款规定的全部内容。</w:t>
      </w:r>
    </w:p>
    <w:p w14:paraId="57D8D089">
      <w:pPr>
        <w:spacing w:line="400" w:lineRule="exact"/>
        <w:ind w:firstLine="420" w:firstLineChars="200"/>
        <w:rPr>
          <w:color w:val="auto"/>
          <w:szCs w:val="21"/>
          <w:highlight w:val="none"/>
        </w:rPr>
      </w:pPr>
      <w:r>
        <w:rPr>
          <w:rFonts w:hint="eastAsia"/>
          <w:color w:val="auto"/>
          <w:szCs w:val="21"/>
          <w:highlight w:val="none"/>
        </w:rPr>
        <w:t>2.</w:t>
      </w:r>
      <w:r>
        <w:rPr>
          <w:color w:val="auto"/>
          <w:szCs w:val="21"/>
          <w:highlight w:val="none"/>
        </w:rPr>
        <w:t>我方承诺在</w:t>
      </w:r>
      <w:r>
        <w:rPr>
          <w:rFonts w:hint="eastAsia"/>
          <w:color w:val="auto"/>
          <w:szCs w:val="21"/>
          <w:highlight w:val="none"/>
        </w:rPr>
        <w:t>竞争性谈判文件规定的</w:t>
      </w:r>
      <w:r>
        <w:rPr>
          <w:color w:val="auto"/>
          <w:szCs w:val="21"/>
          <w:highlight w:val="none"/>
        </w:rPr>
        <w:t>竞争性谈判有效期</w:t>
      </w:r>
      <w:r>
        <w:rPr>
          <w:rFonts w:hint="eastAsia"/>
          <w:color w:val="auto"/>
          <w:szCs w:val="21"/>
          <w:highlight w:val="none"/>
        </w:rPr>
        <w:t>（竞争性谈判有效期为</w:t>
      </w:r>
      <w:r>
        <w:rPr>
          <w:rFonts w:hint="eastAsia"/>
          <w:color w:val="auto"/>
          <w:szCs w:val="21"/>
          <w:highlight w:val="none"/>
          <w:u w:val="single"/>
        </w:rPr>
        <w:t xml:space="preserve"> </w:t>
      </w:r>
      <w:r>
        <w:rPr>
          <w:rFonts w:hint="eastAsia"/>
          <w:color w:val="auto"/>
          <w:szCs w:val="21"/>
          <w:highlight w:val="none"/>
          <w:u w:val="single"/>
          <w:lang w:val="en-US" w:eastAsia="zh-CN"/>
        </w:rPr>
        <w:t>90</w:t>
      </w:r>
      <w:r>
        <w:rPr>
          <w:rFonts w:hint="eastAsia"/>
          <w:color w:val="auto"/>
          <w:szCs w:val="21"/>
          <w:highlight w:val="none"/>
          <w:u w:val="single"/>
        </w:rPr>
        <w:t xml:space="preserve"> </w:t>
      </w:r>
      <w:r>
        <w:rPr>
          <w:rFonts w:hint="eastAsia"/>
          <w:color w:val="auto"/>
          <w:szCs w:val="21"/>
          <w:highlight w:val="none"/>
        </w:rPr>
        <w:t>天）</w:t>
      </w:r>
      <w:r>
        <w:rPr>
          <w:color w:val="auto"/>
          <w:szCs w:val="21"/>
          <w:highlight w:val="none"/>
        </w:rPr>
        <w:t>内不修改、撤销响应文件。</w:t>
      </w:r>
    </w:p>
    <w:p w14:paraId="6A57B416">
      <w:pPr>
        <w:spacing w:line="400" w:lineRule="exact"/>
        <w:ind w:firstLine="420" w:firstLineChars="200"/>
        <w:jc w:val="left"/>
        <w:rPr>
          <w:color w:val="auto"/>
          <w:szCs w:val="21"/>
          <w:highlight w:val="none"/>
        </w:rPr>
      </w:pPr>
      <w:r>
        <w:rPr>
          <w:rFonts w:hint="eastAsia"/>
          <w:color w:val="auto"/>
          <w:szCs w:val="21"/>
          <w:highlight w:val="none"/>
        </w:rPr>
        <w:t>3.</w:t>
      </w:r>
      <w:r>
        <w:rPr>
          <w:color w:val="auto"/>
          <w:szCs w:val="21"/>
          <w:highlight w:val="none"/>
        </w:rPr>
        <w:t>随同本竞争性谈判响应函提交竞争性谈判保证金一份，金额为人民币（大写）</w:t>
      </w:r>
      <w:r>
        <w:rPr>
          <w:color w:val="auto"/>
          <w:szCs w:val="21"/>
          <w:highlight w:val="none"/>
          <w:u w:val="single"/>
        </w:rPr>
        <w:t xml:space="preserve">        </w:t>
      </w:r>
      <w:r>
        <w:rPr>
          <w:color w:val="auto"/>
          <w:szCs w:val="21"/>
          <w:highlight w:val="non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w:t>
      </w:r>
    </w:p>
    <w:p w14:paraId="2316E8DA">
      <w:pPr>
        <w:spacing w:line="400" w:lineRule="exact"/>
        <w:ind w:firstLine="420" w:firstLineChars="200"/>
        <w:rPr>
          <w:color w:val="auto"/>
          <w:szCs w:val="21"/>
          <w:highlight w:val="none"/>
        </w:rPr>
      </w:pPr>
      <w:r>
        <w:rPr>
          <w:rFonts w:hint="eastAsia"/>
          <w:color w:val="auto"/>
          <w:szCs w:val="21"/>
          <w:highlight w:val="none"/>
        </w:rPr>
        <w:t>4.我方在评审过程中根据谈判小组要求提供的符合相关规定的澄清文件，构成响应文件的组成部分。</w:t>
      </w:r>
    </w:p>
    <w:p w14:paraId="42C40C2E">
      <w:pPr>
        <w:spacing w:line="400" w:lineRule="exact"/>
        <w:ind w:firstLine="420" w:firstLineChars="200"/>
        <w:rPr>
          <w:color w:val="auto"/>
          <w:szCs w:val="21"/>
          <w:highlight w:val="none"/>
        </w:rPr>
      </w:pPr>
      <w:r>
        <w:rPr>
          <w:rFonts w:hint="eastAsia"/>
          <w:color w:val="auto"/>
          <w:szCs w:val="21"/>
          <w:highlight w:val="none"/>
        </w:rPr>
        <w:t>5.我方同意提供贵方可能要求的与竞争性谈判有关的一切数据或者资料，并完全理解贵方不一定接受最低价的竞争性谈判。</w:t>
      </w:r>
    </w:p>
    <w:p w14:paraId="482F6322">
      <w:pPr>
        <w:spacing w:line="400" w:lineRule="exact"/>
        <w:ind w:firstLine="420" w:firstLineChars="200"/>
        <w:rPr>
          <w:color w:val="auto"/>
          <w:szCs w:val="21"/>
          <w:highlight w:val="none"/>
        </w:rPr>
      </w:pPr>
      <w:r>
        <w:rPr>
          <w:rFonts w:hint="eastAsia"/>
          <w:color w:val="auto"/>
          <w:szCs w:val="21"/>
          <w:highlight w:val="none"/>
        </w:rPr>
        <w:t>6.我方承诺不向第三方透露与竞争性谈判相关的所有信息。</w:t>
      </w:r>
    </w:p>
    <w:p w14:paraId="2C158805">
      <w:pPr>
        <w:spacing w:line="400" w:lineRule="exact"/>
        <w:ind w:firstLine="420" w:firstLineChars="200"/>
        <w:rPr>
          <w:color w:val="auto"/>
          <w:szCs w:val="21"/>
          <w:highlight w:val="none"/>
        </w:rPr>
      </w:pPr>
      <w:r>
        <w:rPr>
          <w:rFonts w:hint="eastAsia"/>
          <w:color w:val="auto"/>
          <w:szCs w:val="21"/>
          <w:highlight w:val="none"/>
        </w:rPr>
        <w:t>7.</w:t>
      </w:r>
      <w:r>
        <w:rPr>
          <w:color w:val="auto"/>
          <w:szCs w:val="21"/>
          <w:highlight w:val="none"/>
        </w:rPr>
        <w:t>如我方成交：</w:t>
      </w:r>
    </w:p>
    <w:p w14:paraId="5A2EC9AD">
      <w:pPr>
        <w:spacing w:line="400" w:lineRule="exact"/>
        <w:ind w:firstLine="422" w:firstLineChars="201"/>
        <w:rPr>
          <w:color w:val="auto"/>
          <w:szCs w:val="21"/>
          <w:highlight w:val="none"/>
        </w:rPr>
      </w:pPr>
      <w:r>
        <w:rPr>
          <w:color w:val="auto"/>
          <w:szCs w:val="21"/>
          <w:highlight w:val="none"/>
        </w:rPr>
        <w:t>（1）我方承诺在收到成交通知书后，在成交通知书规定的期限内与你方签订合同。</w:t>
      </w:r>
    </w:p>
    <w:p w14:paraId="42AE86C2">
      <w:pPr>
        <w:spacing w:line="400" w:lineRule="exact"/>
        <w:ind w:firstLine="422" w:firstLineChars="201"/>
        <w:rPr>
          <w:color w:val="auto"/>
          <w:szCs w:val="21"/>
          <w:highlight w:val="none"/>
        </w:rPr>
      </w:pPr>
      <w:r>
        <w:rPr>
          <w:color w:val="auto"/>
          <w:szCs w:val="21"/>
          <w:highlight w:val="none"/>
        </w:rPr>
        <w:t>（2）我方承诺按照竞争性谈判文件规定递交履约担保</w:t>
      </w:r>
      <w:r>
        <w:rPr>
          <w:rFonts w:hint="eastAsia"/>
          <w:color w:val="auto"/>
          <w:szCs w:val="21"/>
          <w:highlight w:val="none"/>
        </w:rPr>
        <w:t>、支付采购代理服务费</w:t>
      </w:r>
      <w:r>
        <w:rPr>
          <w:color w:val="auto"/>
          <w:szCs w:val="21"/>
          <w:highlight w:val="none"/>
        </w:rPr>
        <w:t>。</w:t>
      </w:r>
    </w:p>
    <w:p w14:paraId="01C4E8A5">
      <w:pPr>
        <w:spacing w:line="400" w:lineRule="exact"/>
        <w:ind w:firstLine="422" w:firstLineChars="201"/>
        <w:rPr>
          <w:color w:val="auto"/>
          <w:szCs w:val="21"/>
          <w:highlight w:val="none"/>
        </w:rPr>
      </w:pPr>
      <w:r>
        <w:rPr>
          <w:rFonts w:hint="eastAsia"/>
          <w:color w:val="auto"/>
          <w:szCs w:val="21"/>
          <w:highlight w:val="none"/>
        </w:rPr>
        <w:t>（3）按照竞争性谈判文件的规定及合同约定履行相关责任和义务。</w:t>
      </w:r>
    </w:p>
    <w:p w14:paraId="6F691D12">
      <w:pPr>
        <w:spacing w:line="400" w:lineRule="exact"/>
        <w:ind w:firstLine="420" w:firstLineChars="200"/>
        <w:rPr>
          <w:b/>
          <w:color w:val="auto"/>
          <w:szCs w:val="21"/>
          <w:highlight w:val="none"/>
        </w:rPr>
      </w:pPr>
      <w:r>
        <w:rPr>
          <w:rFonts w:hint="eastAsia"/>
          <w:color w:val="auto"/>
          <w:highlight w:val="none"/>
        </w:rPr>
        <w:t>我方在此声明，所递交的响应文件以及有关资料内容完整、真实和准确，且不存在第二章“竞争性谈判响应须知”第1.</w:t>
      </w:r>
      <w:r>
        <w:rPr>
          <w:color w:val="auto"/>
          <w:highlight w:val="none"/>
        </w:rPr>
        <w:t>7</w:t>
      </w:r>
      <w:r>
        <w:rPr>
          <w:rFonts w:hint="eastAsia"/>
          <w:color w:val="auto"/>
          <w:highlight w:val="none"/>
        </w:rPr>
        <w:t>款规定的任何一种情形。</w:t>
      </w:r>
      <w:r>
        <w:rPr>
          <w:rFonts w:hAnsi="宋体"/>
          <w:bCs/>
          <w:color w:val="auto"/>
          <w:szCs w:val="21"/>
          <w:highlight w:val="none"/>
        </w:rPr>
        <w:t>如有弄虚作假，将承担相应的法律责任，并赔偿由此造成的一切损失。</w:t>
      </w:r>
    </w:p>
    <w:p w14:paraId="1C3F98A1">
      <w:pPr>
        <w:spacing w:line="400" w:lineRule="exact"/>
        <w:ind w:firstLine="420" w:firstLineChars="200"/>
        <w:rPr>
          <w:color w:val="auto"/>
          <w:szCs w:val="21"/>
          <w:highlight w:val="none"/>
        </w:rPr>
      </w:pPr>
      <w:r>
        <w:rPr>
          <w:rFonts w:hint="eastAsia"/>
          <w:color w:val="auto"/>
          <w:szCs w:val="21"/>
          <w:highlight w:val="none"/>
        </w:rPr>
        <w:t>8．</w:t>
      </w:r>
      <w:r>
        <w:rPr>
          <w:color w:val="auto"/>
          <w:szCs w:val="21"/>
          <w:highlight w:val="none"/>
          <w:u w:val="single"/>
        </w:rPr>
        <w:t xml:space="preserve">    （</w:t>
      </w:r>
      <w:r>
        <w:rPr>
          <w:rFonts w:hint="eastAsia"/>
          <w:color w:val="auto"/>
          <w:szCs w:val="21"/>
          <w:highlight w:val="none"/>
          <w:u w:val="single"/>
        </w:rPr>
        <w:t>其他</w:t>
      </w:r>
      <w:r>
        <w:rPr>
          <w:color w:val="auto"/>
          <w:szCs w:val="21"/>
          <w:highlight w:val="none"/>
          <w:u w:val="single"/>
        </w:rPr>
        <w:t xml:space="preserve">补充说明）         </w:t>
      </w:r>
      <w:r>
        <w:rPr>
          <w:color w:val="auto"/>
          <w:szCs w:val="21"/>
          <w:highlight w:val="none"/>
        </w:rPr>
        <w:t>。</w:t>
      </w:r>
    </w:p>
    <w:p w14:paraId="17BA5DD5">
      <w:pPr>
        <w:spacing w:line="400" w:lineRule="exact"/>
        <w:ind w:firstLine="3675" w:firstLineChars="1750"/>
        <w:rPr>
          <w:color w:val="auto"/>
          <w:szCs w:val="21"/>
          <w:highlight w:val="none"/>
        </w:rPr>
      </w:pPr>
      <w:r>
        <w:rPr>
          <w:rFonts w:hint="eastAsia"/>
          <w:color w:val="auto"/>
          <w:szCs w:val="21"/>
          <w:highlight w:val="none"/>
        </w:rPr>
        <w:t>响应</w:t>
      </w:r>
      <w:r>
        <w:rPr>
          <w:color w:val="auto"/>
          <w:szCs w:val="21"/>
          <w:highlight w:val="none"/>
        </w:rPr>
        <w:t>人：</w:t>
      </w:r>
      <w:r>
        <w:rPr>
          <w:color w:val="auto"/>
          <w:szCs w:val="21"/>
          <w:highlight w:val="none"/>
          <w:u w:val="single"/>
        </w:rPr>
        <w:t xml:space="preserve">                      </w:t>
      </w:r>
      <w:r>
        <w:rPr>
          <w:color w:val="auto"/>
          <w:szCs w:val="21"/>
          <w:highlight w:val="none"/>
        </w:rPr>
        <w:t>（盖单位公章）</w:t>
      </w:r>
    </w:p>
    <w:p w14:paraId="3DC704CE">
      <w:pPr>
        <w:spacing w:line="400" w:lineRule="exact"/>
        <w:ind w:firstLine="3675" w:firstLineChars="1750"/>
        <w:rPr>
          <w:color w:val="auto"/>
          <w:szCs w:val="21"/>
          <w:highlight w:val="none"/>
        </w:rPr>
      </w:pPr>
      <w:r>
        <w:rPr>
          <w:color w:val="auto"/>
          <w:szCs w:val="21"/>
          <w:highlight w:val="none"/>
        </w:rPr>
        <w:t>法定代表人或其委托代理人：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（签字）</w:t>
      </w:r>
    </w:p>
    <w:p w14:paraId="15672789">
      <w:pPr>
        <w:spacing w:line="400" w:lineRule="exact"/>
        <w:ind w:firstLine="3675" w:firstLineChars="1750"/>
        <w:rPr>
          <w:color w:val="auto"/>
          <w:szCs w:val="21"/>
          <w:highlight w:val="none"/>
        </w:rPr>
      </w:pPr>
      <w:r>
        <w:rPr>
          <w:color w:val="auto"/>
          <w:szCs w:val="21"/>
          <w:highlight w:val="none"/>
        </w:rPr>
        <w:t>地址：</w:t>
      </w:r>
      <w:r>
        <w:rPr>
          <w:color w:val="auto"/>
          <w:szCs w:val="21"/>
          <w:highlight w:val="none"/>
          <w:u w:val="single"/>
        </w:rPr>
        <w:t xml:space="preserve">                                     </w:t>
      </w:r>
    </w:p>
    <w:p w14:paraId="1D15ED85">
      <w:pPr>
        <w:spacing w:line="400" w:lineRule="exact"/>
        <w:ind w:firstLine="3675" w:firstLineChars="1750"/>
        <w:rPr>
          <w:color w:val="auto"/>
          <w:szCs w:val="21"/>
          <w:highlight w:val="none"/>
          <w:u w:val="single"/>
        </w:rPr>
      </w:pPr>
      <w:r>
        <w:rPr>
          <w:color w:val="auto"/>
          <w:szCs w:val="21"/>
          <w:highlight w:val="none"/>
        </w:rPr>
        <w:t>邮政编码：</w:t>
      </w:r>
      <w:r>
        <w:rPr>
          <w:color w:val="auto"/>
          <w:szCs w:val="21"/>
          <w:highlight w:val="none"/>
          <w:u w:val="single"/>
        </w:rPr>
        <w:t xml:space="preserve">                                 </w:t>
      </w:r>
    </w:p>
    <w:p w14:paraId="1ADDC640">
      <w:pPr>
        <w:spacing w:line="400" w:lineRule="exact"/>
        <w:ind w:firstLine="3675" w:firstLineChars="1750"/>
        <w:rPr>
          <w:color w:val="auto"/>
          <w:szCs w:val="21"/>
          <w:highlight w:val="none"/>
        </w:rPr>
      </w:pPr>
      <w:r>
        <w:rPr>
          <w:color w:val="auto"/>
          <w:szCs w:val="21"/>
          <w:highlight w:val="none"/>
        </w:rPr>
        <w:t>电话：</w:t>
      </w:r>
      <w:r>
        <w:rPr>
          <w:color w:val="auto"/>
          <w:szCs w:val="21"/>
          <w:highlight w:val="none"/>
          <w:u w:val="single"/>
        </w:rPr>
        <w:t xml:space="preserve">                                     </w:t>
      </w:r>
    </w:p>
    <w:p w14:paraId="25814F91">
      <w:pPr>
        <w:spacing w:line="400" w:lineRule="exact"/>
        <w:ind w:firstLine="3675" w:firstLineChars="1750"/>
        <w:rPr>
          <w:color w:val="auto"/>
          <w:szCs w:val="21"/>
          <w:highlight w:val="none"/>
        </w:rPr>
      </w:pPr>
      <w:r>
        <w:rPr>
          <w:color w:val="auto"/>
          <w:szCs w:val="21"/>
          <w:highlight w:val="none"/>
        </w:rPr>
        <w:t>传真：</w:t>
      </w:r>
      <w:r>
        <w:rPr>
          <w:color w:val="auto"/>
          <w:szCs w:val="21"/>
          <w:highlight w:val="none"/>
          <w:u w:val="single"/>
        </w:rPr>
        <w:t xml:space="preserve">                                     </w:t>
      </w:r>
    </w:p>
    <w:p w14:paraId="3BF596F5">
      <w:pPr>
        <w:spacing w:line="400" w:lineRule="exact"/>
        <w:ind w:firstLine="3675" w:firstLineChars="1750"/>
        <w:rPr>
          <w:color w:val="auto"/>
          <w:szCs w:val="21"/>
          <w:highlight w:val="none"/>
        </w:rPr>
      </w:pPr>
      <w:r>
        <w:rPr>
          <w:rFonts w:hint="eastAsia"/>
          <w:color w:val="auto"/>
          <w:szCs w:val="21"/>
          <w:highlight w:val="none"/>
        </w:rPr>
        <w:t>电子邮箱</w:t>
      </w:r>
      <w:r>
        <w:rPr>
          <w:color w:val="auto"/>
          <w:szCs w:val="21"/>
          <w:highlight w:val="none"/>
        </w:rPr>
        <w:t>：</w:t>
      </w:r>
      <w:r>
        <w:rPr>
          <w:color w:val="auto"/>
          <w:szCs w:val="21"/>
          <w:highlight w:val="none"/>
          <w:u w:val="single"/>
        </w:rPr>
        <w:t xml:space="preserve">                                 </w:t>
      </w:r>
    </w:p>
    <w:p w14:paraId="64696F22">
      <w:pPr>
        <w:spacing w:line="440" w:lineRule="exact"/>
        <w:jc w:val="right"/>
        <w:rPr>
          <w:rFonts w:eastAsia="黑体"/>
          <w:color w:val="auto"/>
          <w:szCs w:val="21"/>
          <w:highlight w:val="none"/>
        </w:rPr>
      </w:pPr>
      <w:r>
        <w:rPr>
          <w:rFonts w:hint="eastAsia"/>
          <w:color w:val="auto"/>
          <w:szCs w:val="21"/>
          <w:highlight w:val="none"/>
          <w:u w:val="single"/>
        </w:rPr>
        <w:t xml:space="preserve">        </w:t>
      </w:r>
      <w:r>
        <w:rPr>
          <w:color w:val="auto"/>
          <w:szCs w:val="21"/>
          <w:highlight w:val="none"/>
        </w:rPr>
        <w:t>年</w:t>
      </w:r>
      <w:r>
        <w:rPr>
          <w:rFonts w:hint="eastAsia"/>
          <w:color w:val="auto"/>
          <w:szCs w:val="21"/>
          <w:highlight w:val="none"/>
          <w:u w:val="single"/>
        </w:rPr>
        <w:t xml:space="preserve">       </w:t>
      </w:r>
      <w:r>
        <w:rPr>
          <w:color w:val="auto"/>
          <w:szCs w:val="21"/>
          <w:highlight w:val="none"/>
        </w:rPr>
        <w:t>月</w:t>
      </w:r>
      <w:r>
        <w:rPr>
          <w:rFonts w:hint="eastAsia"/>
          <w:color w:val="auto"/>
          <w:szCs w:val="21"/>
          <w:highlight w:val="none"/>
          <w:u w:val="single"/>
        </w:rPr>
        <w:t xml:space="preserve">      </w:t>
      </w:r>
      <w:r>
        <w:rPr>
          <w:rFonts w:hint="eastAsia"/>
          <w:color w:val="auto"/>
          <w:szCs w:val="21"/>
          <w:highlight w:val="none"/>
        </w:rPr>
        <w:t>日</w:t>
      </w:r>
    </w:p>
    <w:p w14:paraId="62FE37BD">
      <w:pPr>
        <w:spacing w:line="440" w:lineRule="exact"/>
        <w:rPr>
          <w:rFonts w:eastAsia="黑体"/>
          <w:color w:val="auto"/>
          <w:sz w:val="20"/>
          <w:szCs w:val="20"/>
          <w:highlight w:val="none"/>
        </w:rPr>
      </w:pPr>
      <w:r>
        <w:rPr>
          <w:rFonts w:eastAsia="黑体"/>
          <w:color w:val="auto"/>
          <w:sz w:val="20"/>
          <w:szCs w:val="20"/>
          <w:highlight w:val="none"/>
        </w:rPr>
        <w:br w:type="page"/>
      </w:r>
    </w:p>
    <w:p w14:paraId="06CB7E78">
      <w:pPr>
        <w:pStyle w:val="6"/>
        <w:jc w:val="center"/>
        <w:rPr>
          <w:rFonts w:ascii="黑体"/>
          <w:b w:val="0"/>
          <w:color w:val="auto"/>
          <w:highlight w:val="none"/>
        </w:rPr>
      </w:pPr>
      <w:bookmarkStart w:id="163" w:name="_Toc475483723"/>
      <w:bookmarkStart w:id="164" w:name="_Toc8418"/>
      <w:r>
        <w:rPr>
          <w:rFonts w:hint="eastAsia" w:ascii="黑体"/>
          <w:b w:val="0"/>
          <w:color w:val="auto"/>
          <w:highlight w:val="none"/>
        </w:rPr>
        <w:t>三、联合体协议书（如有）</w:t>
      </w:r>
      <w:bookmarkEnd w:id="163"/>
      <w:bookmarkEnd w:id="164"/>
    </w:p>
    <w:p w14:paraId="4D5B58EA">
      <w:pPr>
        <w:pStyle w:val="14"/>
        <w:spacing w:line="440" w:lineRule="exact"/>
        <w:rPr>
          <w:color w:val="auto"/>
          <w:szCs w:val="21"/>
          <w:highlight w:val="none"/>
        </w:rPr>
      </w:pPr>
      <w:r>
        <w:rPr>
          <w:rFonts w:hint="eastAsia"/>
          <w:color w:val="auto"/>
          <w:szCs w:val="21"/>
          <w:highlight w:val="none"/>
          <w:u w:val="single"/>
        </w:rPr>
        <w:t xml:space="preserve">（所有成员单位名单）  </w:t>
      </w:r>
      <w:r>
        <w:rPr>
          <w:rFonts w:hAnsi="宋体"/>
          <w:color w:val="auto"/>
          <w:szCs w:val="21"/>
          <w:highlight w:val="none"/>
        </w:rPr>
        <w:t>自愿组成：</w:t>
      </w:r>
      <w:r>
        <w:rPr>
          <w:rFonts w:hint="eastAsia"/>
          <w:color w:val="auto"/>
          <w:szCs w:val="21"/>
          <w:highlight w:val="none"/>
          <w:u w:val="single"/>
        </w:rPr>
        <w:t xml:space="preserve">    </w:t>
      </w:r>
      <w:r>
        <w:rPr>
          <w:rFonts w:hAnsi="宋体"/>
          <w:color w:val="auto"/>
          <w:szCs w:val="21"/>
          <w:highlight w:val="none"/>
          <w:u w:val="single"/>
        </w:rPr>
        <w:t>（联合体名称）</w:t>
      </w:r>
      <w:r>
        <w:rPr>
          <w:rFonts w:hint="eastAsia" w:hAnsi="宋体"/>
          <w:color w:val="auto"/>
          <w:szCs w:val="21"/>
          <w:highlight w:val="none"/>
          <w:u w:val="single"/>
        </w:rPr>
        <w:t xml:space="preserve">  </w:t>
      </w:r>
      <w:r>
        <w:rPr>
          <w:rFonts w:hAnsi="宋体"/>
          <w:color w:val="auto"/>
          <w:szCs w:val="21"/>
          <w:highlight w:val="none"/>
        </w:rPr>
        <w:t>联合体，共同参加</w:t>
      </w:r>
      <w:r>
        <w:rPr>
          <w:rFonts w:hAnsi="宋体"/>
          <w:color w:val="auto"/>
          <w:szCs w:val="21"/>
          <w:highlight w:val="none"/>
          <w:u w:val="single"/>
        </w:rPr>
        <w:t>（竞争性谈判项目名称）</w:t>
      </w:r>
      <w:r>
        <w:rPr>
          <w:rFonts w:hAnsi="宋体"/>
          <w:color w:val="auto"/>
          <w:szCs w:val="21"/>
          <w:highlight w:val="none"/>
        </w:rPr>
        <w:t>竞争性谈判。现就联合体竞争性谈判事宜订立如下协议</w:t>
      </w:r>
      <w:r>
        <w:rPr>
          <w:rFonts w:hint="eastAsia" w:hAnsi="宋体"/>
          <w:color w:val="auto"/>
          <w:szCs w:val="21"/>
          <w:highlight w:val="none"/>
        </w:rPr>
        <w:t>：</w:t>
      </w:r>
    </w:p>
    <w:p w14:paraId="0D5B4D4F">
      <w:pPr>
        <w:pStyle w:val="14"/>
        <w:spacing w:line="440" w:lineRule="exact"/>
        <w:rPr>
          <w:color w:val="auto"/>
          <w:szCs w:val="21"/>
          <w:highlight w:val="none"/>
        </w:rPr>
      </w:pPr>
      <w:r>
        <w:rPr>
          <w:color w:val="auto"/>
          <w:szCs w:val="21"/>
          <w:highlight w:val="none"/>
        </w:rPr>
        <w:t>1</w:t>
      </w:r>
      <w:r>
        <w:rPr>
          <w:rFonts w:hint="eastAsia"/>
          <w:color w:val="auto"/>
          <w:szCs w:val="21"/>
          <w:highlight w:val="none"/>
        </w:rPr>
        <w:t>．</w:t>
      </w:r>
      <w:r>
        <w:rPr>
          <w:rFonts w:hAnsi="宋体"/>
          <w:color w:val="auto"/>
          <w:szCs w:val="21"/>
          <w:highlight w:val="none"/>
          <w:u w:val="single"/>
        </w:rPr>
        <w:t>（成员单位名称）</w:t>
      </w:r>
      <w:r>
        <w:rPr>
          <w:rFonts w:hAnsi="宋体"/>
          <w:color w:val="auto"/>
          <w:szCs w:val="21"/>
          <w:highlight w:val="none"/>
        </w:rPr>
        <w:t>为</w:t>
      </w:r>
      <w:r>
        <w:rPr>
          <w:rFonts w:hAnsi="宋体"/>
          <w:color w:val="auto"/>
          <w:szCs w:val="21"/>
          <w:highlight w:val="none"/>
          <w:u w:val="single"/>
        </w:rPr>
        <w:t>（联合体名称）</w:t>
      </w:r>
      <w:r>
        <w:rPr>
          <w:rFonts w:hAnsi="宋体"/>
          <w:color w:val="auto"/>
          <w:szCs w:val="21"/>
          <w:highlight w:val="none"/>
        </w:rPr>
        <w:t>牵头人。</w:t>
      </w:r>
    </w:p>
    <w:p w14:paraId="0435BC19">
      <w:pPr>
        <w:pStyle w:val="14"/>
        <w:spacing w:line="440" w:lineRule="exact"/>
        <w:rPr>
          <w:color w:val="auto"/>
          <w:szCs w:val="21"/>
          <w:highlight w:val="none"/>
        </w:rPr>
      </w:pPr>
      <w:r>
        <w:rPr>
          <w:color w:val="auto"/>
          <w:szCs w:val="21"/>
          <w:highlight w:val="none"/>
        </w:rPr>
        <w:t>2</w:t>
      </w:r>
      <w:r>
        <w:rPr>
          <w:rFonts w:hint="eastAsia"/>
          <w:color w:val="auto"/>
          <w:szCs w:val="21"/>
          <w:highlight w:val="none"/>
        </w:rPr>
        <w:t>．</w:t>
      </w:r>
      <w:r>
        <w:rPr>
          <w:rFonts w:hAnsi="宋体"/>
          <w:color w:val="auto"/>
          <w:szCs w:val="21"/>
          <w:highlight w:val="none"/>
        </w:rPr>
        <w:t>联合体牵头人合法代表联合体各成员，负责本竞争性谈判项目响应文件编制和合同谈判活动，并代表联合体成员</w:t>
      </w:r>
      <w:r>
        <w:rPr>
          <w:rFonts w:hint="eastAsia" w:hAnsi="宋体"/>
          <w:color w:val="auto"/>
          <w:szCs w:val="21"/>
          <w:highlight w:val="none"/>
        </w:rPr>
        <w:t>递</w:t>
      </w:r>
      <w:r>
        <w:rPr>
          <w:rFonts w:hAnsi="宋体"/>
          <w:color w:val="auto"/>
          <w:szCs w:val="21"/>
          <w:highlight w:val="none"/>
        </w:rPr>
        <w:t>交和接受相关的资料、信息及指示，并处理与之有关的一切事务，负责合同实施阶段的主办、组织和协调工作。</w:t>
      </w:r>
    </w:p>
    <w:p w14:paraId="1F010A0A">
      <w:pPr>
        <w:pStyle w:val="14"/>
        <w:spacing w:line="440" w:lineRule="exact"/>
        <w:rPr>
          <w:rFonts w:hAnsi="宋体"/>
          <w:color w:val="auto"/>
          <w:szCs w:val="21"/>
          <w:highlight w:val="none"/>
        </w:rPr>
      </w:pPr>
      <w:r>
        <w:rPr>
          <w:color w:val="auto"/>
          <w:szCs w:val="21"/>
          <w:highlight w:val="none"/>
        </w:rPr>
        <w:t>3</w:t>
      </w:r>
      <w:r>
        <w:rPr>
          <w:rFonts w:hint="eastAsia"/>
          <w:color w:val="auto"/>
          <w:szCs w:val="21"/>
          <w:highlight w:val="none"/>
        </w:rPr>
        <w:t>．</w:t>
      </w:r>
      <w:r>
        <w:rPr>
          <w:rFonts w:hAnsi="宋体"/>
          <w:color w:val="auto"/>
          <w:szCs w:val="21"/>
          <w:highlight w:val="none"/>
        </w:rPr>
        <w:t>联合体将严格按照竞争性谈判文件的各项要求，递交响应文件，履行合同，并对外承担连带责任。</w:t>
      </w:r>
    </w:p>
    <w:p w14:paraId="5E8C1FDF">
      <w:pPr>
        <w:pStyle w:val="14"/>
        <w:spacing w:line="440" w:lineRule="exact"/>
        <w:rPr>
          <w:color w:val="auto"/>
          <w:szCs w:val="21"/>
          <w:highlight w:val="none"/>
        </w:rPr>
      </w:pPr>
      <w:r>
        <w:rPr>
          <w:color w:val="auto"/>
          <w:szCs w:val="21"/>
          <w:highlight w:val="none"/>
        </w:rPr>
        <w:t>4</w:t>
      </w:r>
      <w:r>
        <w:rPr>
          <w:rFonts w:hint="eastAsia"/>
          <w:color w:val="auto"/>
          <w:szCs w:val="21"/>
          <w:highlight w:val="none"/>
        </w:rPr>
        <w:t>．</w:t>
      </w:r>
      <w:r>
        <w:rPr>
          <w:rFonts w:hAnsi="宋体"/>
          <w:color w:val="auto"/>
          <w:szCs w:val="21"/>
          <w:highlight w:val="none"/>
        </w:rPr>
        <w:t>联合体各成员单位内部的职责分工</w:t>
      </w:r>
      <w:r>
        <w:rPr>
          <w:rFonts w:hint="eastAsia" w:hAnsi="宋体"/>
          <w:color w:val="auto"/>
          <w:szCs w:val="21"/>
          <w:highlight w:val="none"/>
        </w:rPr>
        <w:t>以及资质等级</w:t>
      </w:r>
      <w:r>
        <w:rPr>
          <w:rFonts w:hAnsi="宋体"/>
          <w:color w:val="auto"/>
          <w:szCs w:val="21"/>
          <w:highlight w:val="none"/>
        </w:rPr>
        <w:t>如下：</w:t>
      </w:r>
      <w:r>
        <w:rPr>
          <w:color w:val="auto"/>
          <w:szCs w:val="21"/>
          <w:highlight w:val="none"/>
        </w:rPr>
        <w:t>_________________</w:t>
      </w:r>
      <w:r>
        <w:rPr>
          <w:rFonts w:hint="eastAsia"/>
          <w:color w:val="auto"/>
          <w:szCs w:val="21"/>
          <w:highlight w:val="none"/>
        </w:rPr>
        <w:t>。</w:t>
      </w:r>
    </w:p>
    <w:p w14:paraId="57AF9E2B">
      <w:pPr>
        <w:pStyle w:val="14"/>
        <w:spacing w:line="440" w:lineRule="exact"/>
        <w:rPr>
          <w:rFonts w:ascii="宋体" w:hAnsi="宋体"/>
          <w:color w:val="auto"/>
          <w:szCs w:val="21"/>
          <w:highlight w:val="none"/>
        </w:rPr>
      </w:pPr>
      <w:r>
        <w:rPr>
          <w:rFonts w:hint="eastAsia" w:ascii="宋体" w:hAnsi="宋体"/>
          <w:color w:val="auto"/>
          <w:szCs w:val="21"/>
          <w:highlight w:val="none"/>
        </w:rPr>
        <w:t>按照本条上述分工，联合体成员单位各自所承担的合同工作量比例如下：</w:t>
      </w:r>
      <w:r>
        <w:rPr>
          <w:rFonts w:hint="eastAsia" w:ascii="宋体" w:hAnsi="宋体"/>
          <w:color w:val="auto"/>
          <w:szCs w:val="21"/>
          <w:highlight w:val="none"/>
          <w:u w:val="single"/>
        </w:rPr>
        <w:t xml:space="preserve">           </w:t>
      </w:r>
    </w:p>
    <w:p w14:paraId="2E0BE5C9">
      <w:pPr>
        <w:spacing w:line="440" w:lineRule="exac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1F3D7FBE">
      <w:pPr>
        <w:spacing w:line="440" w:lineRule="exact"/>
        <w:ind w:firstLine="424" w:firstLineChars="202"/>
        <w:rPr>
          <w:color w:val="auto"/>
          <w:szCs w:val="21"/>
          <w:highlight w:val="none"/>
        </w:rPr>
      </w:pPr>
      <w:r>
        <w:rPr>
          <w:color w:val="auto"/>
          <w:szCs w:val="21"/>
          <w:highlight w:val="none"/>
        </w:rPr>
        <w:t>5</w:t>
      </w:r>
      <w:r>
        <w:rPr>
          <w:rFonts w:hint="eastAsia"/>
          <w:color w:val="auto"/>
          <w:szCs w:val="21"/>
          <w:highlight w:val="none"/>
        </w:rPr>
        <w:t xml:space="preserve">． </w:t>
      </w:r>
      <w:r>
        <w:rPr>
          <w:color w:val="auto"/>
          <w:szCs w:val="21"/>
          <w:highlight w:val="none"/>
        </w:rPr>
        <w:t>竞争性谈判工作以及联合体在成交后</w:t>
      </w:r>
      <w:r>
        <w:rPr>
          <w:rFonts w:hint="eastAsia"/>
          <w:color w:val="auto"/>
          <w:szCs w:val="21"/>
          <w:highlight w:val="none"/>
        </w:rPr>
        <w:t>项目</w:t>
      </w:r>
      <w:r>
        <w:rPr>
          <w:color w:val="auto"/>
          <w:szCs w:val="21"/>
          <w:highlight w:val="none"/>
        </w:rPr>
        <w:t>实施过程中的有关费用按</w:t>
      </w:r>
      <w:r>
        <w:rPr>
          <w:rFonts w:hint="eastAsia"/>
          <w:color w:val="auto"/>
          <w:szCs w:val="21"/>
          <w:highlight w:val="none"/>
        </w:rPr>
        <w:t>照</w:t>
      </w:r>
      <w:r>
        <w:rPr>
          <w:color w:val="auto"/>
          <w:szCs w:val="21"/>
          <w:highlight w:val="none"/>
        </w:rPr>
        <w:t>各自承担的工作量分摊。</w:t>
      </w:r>
    </w:p>
    <w:p w14:paraId="29D88B67">
      <w:pPr>
        <w:spacing w:line="440" w:lineRule="exact"/>
        <w:ind w:firstLine="424" w:firstLineChars="202"/>
        <w:rPr>
          <w:color w:val="auto"/>
          <w:szCs w:val="21"/>
          <w:highlight w:val="none"/>
        </w:rPr>
      </w:pPr>
      <w:r>
        <w:rPr>
          <w:color w:val="auto"/>
          <w:szCs w:val="21"/>
          <w:highlight w:val="none"/>
        </w:rPr>
        <w:t>6</w:t>
      </w:r>
      <w:r>
        <w:rPr>
          <w:rFonts w:hint="eastAsia"/>
          <w:color w:val="auto"/>
          <w:szCs w:val="21"/>
          <w:highlight w:val="none"/>
        </w:rPr>
        <w:t>．</w:t>
      </w:r>
      <w:r>
        <w:rPr>
          <w:color w:val="auto"/>
          <w:szCs w:val="21"/>
          <w:highlight w:val="none"/>
        </w:rPr>
        <w:t>联合体成交后，本联合体协议是合同的附件，对联合体各成员单位有合同约束力。</w:t>
      </w:r>
    </w:p>
    <w:p w14:paraId="2E8FB71F">
      <w:pPr>
        <w:pStyle w:val="14"/>
        <w:tabs>
          <w:tab w:val="left" w:pos="6645"/>
        </w:tabs>
        <w:spacing w:line="440" w:lineRule="exact"/>
        <w:rPr>
          <w:color w:val="auto"/>
          <w:szCs w:val="21"/>
          <w:highlight w:val="none"/>
        </w:rPr>
      </w:pPr>
      <w:r>
        <w:rPr>
          <w:rFonts w:hint="eastAsia"/>
          <w:color w:val="auto"/>
          <w:szCs w:val="21"/>
          <w:highlight w:val="none"/>
        </w:rPr>
        <w:t>7．</w:t>
      </w:r>
      <w:r>
        <w:rPr>
          <w:color w:val="auto"/>
          <w:szCs w:val="21"/>
          <w:highlight w:val="none"/>
        </w:rPr>
        <w:t>本协议书自签</w:t>
      </w:r>
      <w:r>
        <w:rPr>
          <w:rFonts w:hint="eastAsia"/>
          <w:color w:val="auto"/>
          <w:szCs w:val="21"/>
          <w:highlight w:val="none"/>
        </w:rPr>
        <w:t>署</w:t>
      </w:r>
      <w:r>
        <w:rPr>
          <w:color w:val="auto"/>
          <w:szCs w:val="21"/>
          <w:highlight w:val="none"/>
        </w:rPr>
        <w:t>之日起生效，合同履行完毕后自动失效。</w:t>
      </w:r>
    </w:p>
    <w:p w14:paraId="00F2234F">
      <w:pPr>
        <w:pStyle w:val="14"/>
        <w:spacing w:line="440" w:lineRule="exact"/>
        <w:rPr>
          <w:color w:val="auto"/>
          <w:szCs w:val="21"/>
          <w:highlight w:val="none"/>
        </w:rPr>
      </w:pPr>
      <w:r>
        <w:rPr>
          <w:rFonts w:hint="eastAsia"/>
          <w:color w:val="auto"/>
          <w:szCs w:val="21"/>
          <w:highlight w:val="none"/>
        </w:rPr>
        <w:t>8．</w:t>
      </w:r>
      <w:r>
        <w:rPr>
          <w:color w:val="auto"/>
          <w:szCs w:val="21"/>
          <w:highlight w:val="none"/>
        </w:rPr>
        <w:t>本协议书一式____份，联合体成员</w:t>
      </w:r>
      <w:r>
        <w:rPr>
          <w:rFonts w:hint="eastAsia"/>
          <w:color w:val="auto"/>
          <w:szCs w:val="21"/>
          <w:highlight w:val="none"/>
        </w:rPr>
        <w:t>和</w:t>
      </w:r>
      <w:r>
        <w:rPr>
          <w:color w:val="auto"/>
          <w:szCs w:val="21"/>
          <w:highlight w:val="none"/>
        </w:rPr>
        <w:t>采购人各执一份。</w:t>
      </w:r>
    </w:p>
    <w:p w14:paraId="4107B5EF">
      <w:pPr>
        <w:pStyle w:val="14"/>
        <w:spacing w:line="440" w:lineRule="exact"/>
        <w:rPr>
          <w:color w:val="auto"/>
          <w:szCs w:val="21"/>
          <w:highlight w:val="none"/>
        </w:rPr>
      </w:pPr>
      <w:r>
        <w:rPr>
          <w:rFonts w:hAnsi="宋体"/>
          <w:color w:val="auto"/>
          <w:szCs w:val="21"/>
          <w:highlight w:val="none"/>
        </w:rPr>
        <w:t>注：本协议书由委托人签字的，应附法定代表人签字的授权委托书。</w:t>
      </w:r>
    </w:p>
    <w:p w14:paraId="054C109F">
      <w:pPr>
        <w:pStyle w:val="14"/>
        <w:wordWrap w:val="0"/>
        <w:spacing w:line="360" w:lineRule="auto"/>
        <w:jc w:val="right"/>
        <w:rPr>
          <w:color w:val="auto"/>
          <w:szCs w:val="21"/>
          <w:highlight w:val="none"/>
        </w:rPr>
      </w:pPr>
      <w:r>
        <w:rPr>
          <w:rFonts w:hAnsi="宋体"/>
          <w:color w:val="auto"/>
          <w:szCs w:val="21"/>
          <w:highlight w:val="none"/>
        </w:rPr>
        <w:t>牵头人名称：</w:t>
      </w:r>
      <w:r>
        <w:rPr>
          <w:color w:val="auto"/>
          <w:szCs w:val="21"/>
          <w:highlight w:val="none"/>
        </w:rPr>
        <w:t>_______________________</w:t>
      </w:r>
      <w:r>
        <w:rPr>
          <w:rFonts w:hAnsi="宋体"/>
          <w:color w:val="auto"/>
          <w:szCs w:val="21"/>
          <w:highlight w:val="none"/>
        </w:rPr>
        <w:t>（盖单位公章）</w:t>
      </w:r>
    </w:p>
    <w:p w14:paraId="44351F84">
      <w:pPr>
        <w:pStyle w:val="14"/>
        <w:spacing w:line="360" w:lineRule="auto"/>
        <w:jc w:val="right"/>
        <w:rPr>
          <w:color w:val="auto"/>
          <w:szCs w:val="21"/>
          <w:highlight w:val="none"/>
        </w:rPr>
      </w:pPr>
      <w:r>
        <w:rPr>
          <w:rFonts w:hAnsi="宋体"/>
          <w:color w:val="auto"/>
          <w:szCs w:val="21"/>
          <w:highlight w:val="none"/>
        </w:rPr>
        <w:t>法定代表人或其委托代理人：</w:t>
      </w:r>
      <w:r>
        <w:rPr>
          <w:color w:val="auto"/>
          <w:szCs w:val="21"/>
          <w:highlight w:val="none"/>
        </w:rPr>
        <w:t>_____________</w:t>
      </w:r>
      <w:r>
        <w:rPr>
          <w:rFonts w:hAnsi="宋体"/>
          <w:color w:val="auto"/>
          <w:szCs w:val="21"/>
          <w:highlight w:val="none"/>
        </w:rPr>
        <w:t>（签字）</w:t>
      </w:r>
    </w:p>
    <w:p w14:paraId="7E6E24C5">
      <w:pPr>
        <w:pStyle w:val="14"/>
        <w:spacing w:line="360" w:lineRule="auto"/>
        <w:jc w:val="right"/>
        <w:rPr>
          <w:color w:val="auto"/>
          <w:szCs w:val="21"/>
          <w:highlight w:val="none"/>
        </w:rPr>
      </w:pPr>
    </w:p>
    <w:p w14:paraId="2C6057E8">
      <w:pPr>
        <w:pStyle w:val="14"/>
        <w:wordWrap w:val="0"/>
        <w:spacing w:line="360" w:lineRule="auto"/>
        <w:jc w:val="right"/>
        <w:rPr>
          <w:color w:val="auto"/>
          <w:szCs w:val="21"/>
          <w:highlight w:val="none"/>
        </w:rPr>
      </w:pPr>
      <w:r>
        <w:rPr>
          <w:rFonts w:hAnsi="宋体"/>
          <w:color w:val="auto"/>
          <w:szCs w:val="21"/>
          <w:highlight w:val="none"/>
        </w:rPr>
        <w:t>成员一名称：</w:t>
      </w:r>
      <w:r>
        <w:rPr>
          <w:color w:val="auto"/>
          <w:szCs w:val="21"/>
          <w:highlight w:val="none"/>
        </w:rPr>
        <w:t>_______________________</w:t>
      </w:r>
      <w:r>
        <w:rPr>
          <w:rFonts w:hAnsi="宋体"/>
          <w:color w:val="auto"/>
          <w:szCs w:val="21"/>
          <w:highlight w:val="none"/>
        </w:rPr>
        <w:t>（盖单位公章）</w:t>
      </w:r>
    </w:p>
    <w:p w14:paraId="1127EA06">
      <w:pPr>
        <w:pStyle w:val="14"/>
        <w:spacing w:line="360" w:lineRule="auto"/>
        <w:jc w:val="right"/>
        <w:rPr>
          <w:color w:val="auto"/>
          <w:szCs w:val="21"/>
          <w:highlight w:val="none"/>
        </w:rPr>
      </w:pPr>
      <w:r>
        <w:rPr>
          <w:rFonts w:hAnsi="宋体"/>
          <w:color w:val="auto"/>
          <w:szCs w:val="21"/>
          <w:highlight w:val="none"/>
        </w:rPr>
        <w:t>法定代表人或其委托代理人：</w:t>
      </w:r>
      <w:r>
        <w:rPr>
          <w:color w:val="auto"/>
          <w:szCs w:val="21"/>
          <w:highlight w:val="none"/>
        </w:rPr>
        <w:t>_____________</w:t>
      </w:r>
      <w:r>
        <w:rPr>
          <w:rFonts w:hAnsi="宋体"/>
          <w:color w:val="auto"/>
          <w:szCs w:val="21"/>
          <w:highlight w:val="none"/>
        </w:rPr>
        <w:t>（签字）</w:t>
      </w:r>
    </w:p>
    <w:p w14:paraId="2FCD6C55">
      <w:pPr>
        <w:pStyle w:val="14"/>
        <w:spacing w:line="360" w:lineRule="auto"/>
        <w:jc w:val="right"/>
        <w:rPr>
          <w:color w:val="auto"/>
          <w:szCs w:val="21"/>
          <w:highlight w:val="none"/>
        </w:rPr>
      </w:pPr>
    </w:p>
    <w:p w14:paraId="26959D5B">
      <w:pPr>
        <w:pStyle w:val="14"/>
        <w:spacing w:line="360" w:lineRule="auto"/>
        <w:jc w:val="right"/>
        <w:rPr>
          <w:color w:val="auto"/>
          <w:szCs w:val="21"/>
          <w:highlight w:val="none"/>
        </w:rPr>
      </w:pPr>
      <w:r>
        <w:rPr>
          <w:rFonts w:hAnsi="宋体"/>
          <w:color w:val="auto"/>
          <w:szCs w:val="21"/>
          <w:highlight w:val="none"/>
        </w:rPr>
        <w:t>成员二名称：</w:t>
      </w:r>
      <w:r>
        <w:rPr>
          <w:color w:val="auto"/>
          <w:szCs w:val="21"/>
          <w:highlight w:val="none"/>
        </w:rPr>
        <w:t>_______________________</w:t>
      </w:r>
      <w:r>
        <w:rPr>
          <w:rFonts w:hAnsi="宋体"/>
          <w:color w:val="auto"/>
          <w:szCs w:val="21"/>
          <w:highlight w:val="none"/>
        </w:rPr>
        <w:t>（盖单位公章）</w:t>
      </w:r>
    </w:p>
    <w:p w14:paraId="6BCCE910">
      <w:pPr>
        <w:pStyle w:val="14"/>
        <w:spacing w:line="360" w:lineRule="auto"/>
        <w:jc w:val="right"/>
        <w:rPr>
          <w:rFonts w:hAnsi="宋体"/>
          <w:color w:val="auto"/>
          <w:szCs w:val="21"/>
          <w:highlight w:val="none"/>
        </w:rPr>
      </w:pPr>
      <w:r>
        <w:rPr>
          <w:rFonts w:hAnsi="宋体"/>
          <w:color w:val="auto"/>
          <w:szCs w:val="21"/>
          <w:highlight w:val="none"/>
        </w:rPr>
        <w:t>法定代表人或其委托代理人：</w:t>
      </w:r>
      <w:r>
        <w:rPr>
          <w:color w:val="auto"/>
          <w:szCs w:val="21"/>
          <w:highlight w:val="none"/>
        </w:rPr>
        <w:t>_____________</w:t>
      </w:r>
      <w:r>
        <w:rPr>
          <w:rFonts w:hAnsi="宋体"/>
          <w:color w:val="auto"/>
          <w:szCs w:val="21"/>
          <w:highlight w:val="none"/>
        </w:rPr>
        <w:t>（签字）</w:t>
      </w:r>
    </w:p>
    <w:p w14:paraId="177E88DC">
      <w:pPr>
        <w:pStyle w:val="14"/>
        <w:spacing w:line="360" w:lineRule="auto"/>
        <w:ind w:right="840"/>
        <w:rPr>
          <w:rFonts w:hAnsi="宋体"/>
          <w:color w:val="auto"/>
          <w:szCs w:val="21"/>
          <w:highlight w:val="none"/>
        </w:rPr>
      </w:pPr>
      <w:r>
        <w:rPr>
          <w:rFonts w:hint="eastAsia" w:hAnsi="宋体"/>
          <w:color w:val="auto"/>
          <w:szCs w:val="21"/>
          <w:highlight w:val="none"/>
        </w:rPr>
        <w:t xml:space="preserve">                             </w:t>
      </w:r>
      <w:r>
        <w:rPr>
          <w:rFonts w:hAnsi="宋体"/>
          <w:color w:val="auto"/>
          <w:szCs w:val="21"/>
          <w:highlight w:val="none"/>
        </w:rPr>
        <w:t>……</w:t>
      </w:r>
    </w:p>
    <w:p w14:paraId="6A890FE7">
      <w:pPr>
        <w:spacing w:line="360" w:lineRule="auto"/>
        <w:ind w:firstLine="2879" w:firstLineChars="1371"/>
        <w:jc w:val="right"/>
        <w:rPr>
          <w:rFonts w:ascii="宋体" w:hAnsi="宋体"/>
          <w:color w:val="auto"/>
          <w:highlight w:val="none"/>
        </w:rPr>
      </w:pPr>
      <w:r>
        <w:rPr>
          <w:rFonts w:ascii="宋体" w:hAnsi="宋体"/>
          <w:color w:val="auto"/>
          <w:highlight w:val="none"/>
          <w:u w:val="single"/>
        </w:rPr>
        <w:t xml:space="preserve">        </w:t>
      </w:r>
      <w:r>
        <w:rPr>
          <w:rFonts w:ascii="宋体" w:hAnsi="宋体"/>
          <w:color w:val="auto"/>
          <w:highlight w:val="none"/>
        </w:rPr>
        <w:t>年</w:t>
      </w:r>
      <w:r>
        <w:rPr>
          <w:rFonts w:ascii="宋体" w:hAnsi="宋体"/>
          <w:color w:val="auto"/>
          <w:highlight w:val="none"/>
          <w:u w:val="single"/>
        </w:rPr>
        <w:t xml:space="preserve">   </w:t>
      </w:r>
      <w:r>
        <w:rPr>
          <w:rFonts w:hint="eastAsia" w:ascii="宋体" w:hAnsi="宋体"/>
          <w:color w:val="auto"/>
          <w:highlight w:val="none"/>
          <w:u w:val="single"/>
        </w:rPr>
        <w:t xml:space="preserve">  </w:t>
      </w:r>
      <w:r>
        <w:rPr>
          <w:rFonts w:ascii="宋体" w:hAnsi="宋体"/>
          <w:color w:val="auto"/>
          <w:highlight w:val="none"/>
        </w:rPr>
        <w:t>月</w:t>
      </w:r>
      <w:r>
        <w:rPr>
          <w:rFonts w:ascii="宋体" w:hAnsi="宋体"/>
          <w:color w:val="auto"/>
          <w:highlight w:val="none"/>
          <w:u w:val="single"/>
        </w:rPr>
        <w:t xml:space="preserve"> </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ascii="宋体" w:hAnsi="宋体"/>
          <w:color w:val="auto"/>
          <w:highlight w:val="none"/>
        </w:rPr>
        <w:t>日</w:t>
      </w:r>
    </w:p>
    <w:p w14:paraId="3EDCDEC6">
      <w:pPr>
        <w:pStyle w:val="6"/>
        <w:jc w:val="center"/>
        <w:rPr>
          <w:color w:val="auto"/>
          <w:szCs w:val="21"/>
          <w:highlight w:val="none"/>
        </w:rPr>
      </w:pPr>
      <w:bookmarkStart w:id="165" w:name="_Toc19484"/>
      <w:bookmarkStart w:id="166" w:name="_Toc475483724"/>
      <w:r>
        <w:rPr>
          <w:rFonts w:hint="eastAsia"/>
          <w:b w:val="0"/>
          <w:color w:val="auto"/>
          <w:highlight w:val="none"/>
        </w:rPr>
        <w:t>四、法定代表人身份证明</w:t>
      </w:r>
      <w:bookmarkEnd w:id="165"/>
      <w:bookmarkEnd w:id="166"/>
    </w:p>
    <w:p w14:paraId="32A2CA94">
      <w:pPr>
        <w:jc w:val="center"/>
        <w:rPr>
          <w:color w:val="auto"/>
          <w:szCs w:val="21"/>
          <w:highlight w:val="none"/>
        </w:rPr>
      </w:pPr>
    </w:p>
    <w:p w14:paraId="770C89D3">
      <w:pPr>
        <w:topLinePunct/>
        <w:spacing w:line="600" w:lineRule="exact"/>
        <w:rPr>
          <w:bCs/>
          <w:color w:val="auto"/>
          <w:szCs w:val="21"/>
          <w:highlight w:val="none"/>
          <w:u w:val="single"/>
        </w:rPr>
      </w:pPr>
      <w:r>
        <w:rPr>
          <w:rFonts w:hint="eastAsia"/>
          <w:bCs/>
          <w:color w:val="auto"/>
          <w:szCs w:val="21"/>
          <w:highlight w:val="none"/>
        </w:rPr>
        <w:t>响应人</w:t>
      </w:r>
      <w:r>
        <w:rPr>
          <w:bCs/>
          <w:color w:val="auto"/>
          <w:szCs w:val="21"/>
          <w:highlight w:val="none"/>
        </w:rPr>
        <w:t>名称：</w:t>
      </w:r>
      <w:r>
        <w:rPr>
          <w:bCs/>
          <w:color w:val="auto"/>
          <w:szCs w:val="21"/>
          <w:highlight w:val="none"/>
          <w:u w:val="single"/>
        </w:rPr>
        <w:t xml:space="preserve">                         </w:t>
      </w:r>
    </w:p>
    <w:p w14:paraId="3D7D4D7B">
      <w:pPr>
        <w:topLinePunct/>
        <w:spacing w:line="600" w:lineRule="exact"/>
        <w:rPr>
          <w:bCs/>
          <w:color w:val="auto"/>
          <w:szCs w:val="21"/>
          <w:highlight w:val="none"/>
        </w:rPr>
      </w:pPr>
      <w:r>
        <w:rPr>
          <w:bCs/>
          <w:color w:val="auto"/>
          <w:szCs w:val="21"/>
          <w:highlight w:val="none"/>
        </w:rPr>
        <w:t>单位性质：</w:t>
      </w:r>
      <w:r>
        <w:rPr>
          <w:bCs/>
          <w:color w:val="auto"/>
          <w:szCs w:val="21"/>
          <w:highlight w:val="none"/>
          <w:u w:val="single"/>
        </w:rPr>
        <w:t xml:space="preserve">                           </w:t>
      </w:r>
    </w:p>
    <w:p w14:paraId="4D95F8FC">
      <w:pPr>
        <w:topLinePunct/>
        <w:spacing w:line="600" w:lineRule="exact"/>
        <w:rPr>
          <w:bCs/>
          <w:color w:val="auto"/>
          <w:szCs w:val="21"/>
          <w:highlight w:val="none"/>
        </w:rPr>
      </w:pPr>
      <w:r>
        <w:rPr>
          <w:bCs/>
          <w:color w:val="auto"/>
          <w:szCs w:val="21"/>
          <w:highlight w:val="none"/>
        </w:rPr>
        <w:t>成立时间：</w:t>
      </w:r>
      <w:r>
        <w:rPr>
          <w:bCs/>
          <w:color w:val="auto"/>
          <w:szCs w:val="21"/>
          <w:highlight w:val="none"/>
          <w:u w:val="single"/>
        </w:rPr>
        <w:t xml:space="preserve">       </w:t>
      </w:r>
      <w:r>
        <w:rPr>
          <w:bCs/>
          <w:color w:val="auto"/>
          <w:szCs w:val="21"/>
          <w:highlight w:val="none"/>
        </w:rPr>
        <w:t>年</w:t>
      </w:r>
      <w:r>
        <w:rPr>
          <w:bCs/>
          <w:color w:val="auto"/>
          <w:szCs w:val="21"/>
          <w:highlight w:val="none"/>
          <w:u w:val="single"/>
        </w:rPr>
        <w:t xml:space="preserve">       </w:t>
      </w:r>
      <w:r>
        <w:rPr>
          <w:bCs/>
          <w:color w:val="auto"/>
          <w:szCs w:val="21"/>
          <w:highlight w:val="none"/>
        </w:rPr>
        <w:t>月</w:t>
      </w:r>
      <w:r>
        <w:rPr>
          <w:bCs/>
          <w:color w:val="auto"/>
          <w:szCs w:val="21"/>
          <w:highlight w:val="none"/>
          <w:u w:val="single"/>
        </w:rPr>
        <w:t xml:space="preserve">       </w:t>
      </w:r>
      <w:r>
        <w:rPr>
          <w:bCs/>
          <w:color w:val="auto"/>
          <w:szCs w:val="21"/>
          <w:highlight w:val="none"/>
        </w:rPr>
        <w:t>日</w:t>
      </w:r>
    </w:p>
    <w:p w14:paraId="35DB6959">
      <w:pPr>
        <w:topLinePunct/>
        <w:spacing w:line="600" w:lineRule="exact"/>
        <w:rPr>
          <w:bCs/>
          <w:color w:val="auto"/>
          <w:szCs w:val="21"/>
          <w:highlight w:val="none"/>
        </w:rPr>
      </w:pPr>
      <w:r>
        <w:rPr>
          <w:bCs/>
          <w:color w:val="auto"/>
          <w:szCs w:val="21"/>
          <w:highlight w:val="none"/>
        </w:rPr>
        <w:t>经营期限：</w:t>
      </w:r>
      <w:r>
        <w:rPr>
          <w:bCs/>
          <w:color w:val="auto"/>
          <w:szCs w:val="21"/>
          <w:highlight w:val="none"/>
          <w:u w:val="single"/>
        </w:rPr>
        <w:t xml:space="preserve">            </w:t>
      </w:r>
    </w:p>
    <w:p w14:paraId="732273D9">
      <w:pPr>
        <w:topLinePunct/>
        <w:spacing w:line="600" w:lineRule="exact"/>
        <w:rPr>
          <w:bCs/>
          <w:color w:val="auto"/>
          <w:szCs w:val="21"/>
          <w:highlight w:val="none"/>
          <w:u w:val="single"/>
        </w:rPr>
      </w:pPr>
      <w:r>
        <w:rPr>
          <w:bCs/>
          <w:color w:val="auto"/>
          <w:szCs w:val="21"/>
          <w:highlight w:val="none"/>
        </w:rPr>
        <w:t>姓名：</w:t>
      </w:r>
      <w:r>
        <w:rPr>
          <w:bCs/>
          <w:color w:val="auto"/>
          <w:szCs w:val="21"/>
          <w:highlight w:val="none"/>
          <w:u w:val="single"/>
        </w:rPr>
        <w:t xml:space="preserve">         </w:t>
      </w:r>
      <w:r>
        <w:rPr>
          <w:bCs/>
          <w:color w:val="auto"/>
          <w:szCs w:val="21"/>
          <w:highlight w:val="none"/>
        </w:rPr>
        <w:t>性别：</w:t>
      </w:r>
      <w:r>
        <w:rPr>
          <w:bCs/>
          <w:color w:val="auto"/>
          <w:szCs w:val="21"/>
          <w:highlight w:val="none"/>
          <w:u w:val="single"/>
        </w:rPr>
        <w:t xml:space="preserve">          </w:t>
      </w:r>
      <w:r>
        <w:rPr>
          <w:bCs/>
          <w:color w:val="auto"/>
          <w:szCs w:val="21"/>
          <w:highlight w:val="none"/>
        </w:rPr>
        <w:t>年龄：</w:t>
      </w:r>
      <w:r>
        <w:rPr>
          <w:bCs/>
          <w:color w:val="auto"/>
          <w:szCs w:val="21"/>
          <w:highlight w:val="none"/>
          <w:u w:val="single"/>
        </w:rPr>
        <w:t xml:space="preserve">        </w:t>
      </w:r>
      <w:r>
        <w:rPr>
          <w:rFonts w:hint="eastAsia"/>
          <w:bCs/>
          <w:color w:val="auto"/>
          <w:szCs w:val="21"/>
          <w:highlight w:val="none"/>
          <w:u w:val="single"/>
        </w:rPr>
        <w:t xml:space="preserve"> </w:t>
      </w:r>
      <w:r>
        <w:rPr>
          <w:bCs/>
          <w:color w:val="auto"/>
          <w:szCs w:val="21"/>
          <w:highlight w:val="none"/>
        </w:rPr>
        <w:t>职务：</w:t>
      </w:r>
      <w:r>
        <w:rPr>
          <w:bCs/>
          <w:color w:val="auto"/>
          <w:szCs w:val="21"/>
          <w:highlight w:val="none"/>
          <w:u w:val="single"/>
        </w:rPr>
        <w:t xml:space="preserve">        </w:t>
      </w:r>
      <w:r>
        <w:rPr>
          <w:rFonts w:hint="eastAsia"/>
          <w:bCs/>
          <w:color w:val="auto"/>
          <w:szCs w:val="21"/>
          <w:highlight w:val="none"/>
          <w:u w:val="single"/>
        </w:rPr>
        <w:t xml:space="preserve"> </w:t>
      </w:r>
    </w:p>
    <w:p w14:paraId="1D5F48C1">
      <w:pPr>
        <w:topLinePunct/>
        <w:spacing w:line="600" w:lineRule="exact"/>
        <w:rPr>
          <w:bCs/>
          <w:color w:val="auto"/>
          <w:szCs w:val="21"/>
          <w:highlight w:val="none"/>
        </w:rPr>
      </w:pPr>
      <w:r>
        <w:rPr>
          <w:bCs/>
          <w:color w:val="auto"/>
          <w:szCs w:val="21"/>
          <w:highlight w:val="none"/>
        </w:rPr>
        <w:t>系</w:t>
      </w:r>
      <w:r>
        <w:rPr>
          <w:bCs/>
          <w:color w:val="auto"/>
          <w:szCs w:val="21"/>
          <w:highlight w:val="none"/>
          <w:u w:val="single"/>
        </w:rPr>
        <w:t xml:space="preserve">                   </w:t>
      </w:r>
      <w:r>
        <w:rPr>
          <w:rFonts w:hint="eastAsia"/>
          <w:bCs/>
          <w:color w:val="auto"/>
          <w:szCs w:val="21"/>
          <w:highlight w:val="none"/>
        </w:rPr>
        <w:t>（响应人</w:t>
      </w:r>
      <w:r>
        <w:rPr>
          <w:bCs/>
          <w:color w:val="auto"/>
          <w:szCs w:val="21"/>
          <w:highlight w:val="none"/>
        </w:rPr>
        <w:t>名称</w:t>
      </w:r>
      <w:r>
        <w:rPr>
          <w:rFonts w:hint="eastAsia"/>
          <w:bCs/>
          <w:color w:val="auto"/>
          <w:szCs w:val="21"/>
          <w:highlight w:val="none"/>
        </w:rPr>
        <w:t>）</w:t>
      </w:r>
      <w:r>
        <w:rPr>
          <w:bCs/>
          <w:color w:val="auto"/>
          <w:szCs w:val="21"/>
          <w:highlight w:val="none"/>
        </w:rPr>
        <w:t>的法定代表人。</w:t>
      </w:r>
    </w:p>
    <w:p w14:paraId="52C507BA">
      <w:pPr>
        <w:topLinePunct/>
        <w:spacing w:line="600" w:lineRule="exact"/>
        <w:ind w:firstLine="420" w:firstLineChars="200"/>
        <w:rPr>
          <w:bCs/>
          <w:color w:val="auto"/>
          <w:szCs w:val="21"/>
          <w:highlight w:val="none"/>
        </w:rPr>
      </w:pPr>
      <w:r>
        <w:rPr>
          <w:bCs/>
          <w:color w:val="auto"/>
          <w:szCs w:val="21"/>
          <w:highlight w:val="none"/>
        </w:rPr>
        <w:t>特此证明。</w:t>
      </w:r>
    </w:p>
    <w:p w14:paraId="69B854F9">
      <w:pPr>
        <w:topLinePunct/>
        <w:spacing w:line="440" w:lineRule="exact"/>
        <w:rPr>
          <w:color w:val="auto"/>
          <w:highlight w:val="none"/>
        </w:rPr>
      </w:pPr>
      <w:r>
        <w:rPr>
          <w:color w:val="auto"/>
          <w:highlight w:val="none"/>
        </w:rPr>
        <w:t>附：法定代表人身份证复印件</w:t>
      </w:r>
      <w:r>
        <w:rPr>
          <w:rFonts w:hint="eastAsia"/>
          <w:color w:val="auto"/>
          <w:highlight w:val="none"/>
        </w:rPr>
        <w:t>（</w:t>
      </w:r>
      <w:r>
        <w:rPr>
          <w:rFonts w:hint="eastAsia" w:ascii="宋体" w:hAnsi="宋体"/>
          <w:color w:val="auto"/>
          <w:szCs w:val="21"/>
          <w:highlight w:val="none"/>
        </w:rPr>
        <w:t>需同时提供正面及背面</w:t>
      </w:r>
      <w:r>
        <w:rPr>
          <w:rFonts w:hint="eastAsia"/>
          <w:color w:val="auto"/>
          <w:highlight w:val="none"/>
        </w:rPr>
        <w:t>）</w:t>
      </w:r>
    </w:p>
    <w:p w14:paraId="5D3C4A2D">
      <w:pPr>
        <w:spacing w:line="440" w:lineRule="exact"/>
        <w:rPr>
          <w:color w:val="auto"/>
          <w:szCs w:val="21"/>
          <w:highlight w:val="none"/>
        </w:rPr>
      </w:pPr>
    </w:p>
    <w:p w14:paraId="0744E96C">
      <w:pPr>
        <w:spacing w:line="500" w:lineRule="exact"/>
        <w:rPr>
          <w:rFonts w:ascii="宋体" w:hAnsi="宋体"/>
          <w:color w:val="auto"/>
          <w:szCs w:val="21"/>
          <w:highlight w:val="none"/>
        </w:rPr>
      </w:pPr>
    </w:p>
    <w:p w14:paraId="745C09FD">
      <w:pPr>
        <w:spacing w:line="440" w:lineRule="exact"/>
        <w:rPr>
          <w:color w:val="auto"/>
          <w:szCs w:val="21"/>
          <w:highlight w:val="none"/>
        </w:rPr>
      </w:pPr>
    </w:p>
    <w:p w14:paraId="3C60B842">
      <w:pPr>
        <w:spacing w:line="500" w:lineRule="exact"/>
        <w:rPr>
          <w:rFonts w:ascii="宋体" w:hAnsi="宋体"/>
          <w:color w:val="auto"/>
          <w:szCs w:val="21"/>
          <w:highlight w:val="none"/>
        </w:rPr>
      </w:pPr>
    </w:p>
    <w:p w14:paraId="2DE61728">
      <w:pPr>
        <w:spacing w:line="440" w:lineRule="exact"/>
        <w:rPr>
          <w:color w:val="auto"/>
          <w:szCs w:val="21"/>
          <w:highlight w:val="none"/>
        </w:rPr>
      </w:pPr>
    </w:p>
    <w:p w14:paraId="22792868">
      <w:pPr>
        <w:spacing w:line="500" w:lineRule="exact"/>
        <w:rPr>
          <w:rFonts w:ascii="宋体" w:hAnsi="宋体"/>
          <w:color w:val="auto"/>
          <w:szCs w:val="21"/>
          <w:highlight w:val="none"/>
        </w:rPr>
      </w:pPr>
    </w:p>
    <w:p w14:paraId="4968F904">
      <w:pPr>
        <w:spacing w:line="440" w:lineRule="exact"/>
        <w:rPr>
          <w:color w:val="auto"/>
          <w:szCs w:val="21"/>
          <w:highlight w:val="none"/>
        </w:rPr>
      </w:pPr>
    </w:p>
    <w:p w14:paraId="4A4945AE">
      <w:pPr>
        <w:spacing w:line="440" w:lineRule="exact"/>
        <w:rPr>
          <w:color w:val="auto"/>
          <w:szCs w:val="21"/>
          <w:highlight w:val="none"/>
        </w:rPr>
      </w:pPr>
    </w:p>
    <w:p w14:paraId="203CD00B">
      <w:pPr>
        <w:spacing w:line="440" w:lineRule="exact"/>
        <w:rPr>
          <w:color w:val="auto"/>
          <w:szCs w:val="21"/>
          <w:highlight w:val="none"/>
        </w:rPr>
      </w:pPr>
    </w:p>
    <w:p w14:paraId="05782782">
      <w:pPr>
        <w:spacing w:line="440" w:lineRule="exact"/>
        <w:rPr>
          <w:color w:val="auto"/>
          <w:szCs w:val="21"/>
          <w:highlight w:val="none"/>
        </w:rPr>
      </w:pPr>
    </w:p>
    <w:p w14:paraId="66AF1DD3">
      <w:pPr>
        <w:spacing w:line="440" w:lineRule="exact"/>
        <w:ind w:firstLine="4305" w:firstLineChars="2050"/>
        <w:rPr>
          <w:color w:val="auto"/>
          <w:szCs w:val="21"/>
          <w:highlight w:val="none"/>
        </w:rPr>
      </w:pPr>
    </w:p>
    <w:p w14:paraId="6CAEBC82">
      <w:pPr>
        <w:spacing w:line="440" w:lineRule="exact"/>
        <w:ind w:firstLine="4305" w:firstLineChars="2050"/>
        <w:rPr>
          <w:color w:val="auto"/>
          <w:szCs w:val="21"/>
          <w:highlight w:val="none"/>
        </w:rPr>
      </w:pPr>
      <w:r>
        <w:rPr>
          <w:color w:val="auto"/>
          <w:szCs w:val="21"/>
          <w:highlight w:val="none"/>
        </w:rPr>
        <w:t>响应人：</w:t>
      </w:r>
      <w:r>
        <w:rPr>
          <w:color w:val="auto"/>
          <w:szCs w:val="21"/>
          <w:highlight w:val="none"/>
          <w:u w:val="single"/>
        </w:rPr>
        <w:t xml:space="preserve">                 </w:t>
      </w:r>
      <w:r>
        <w:rPr>
          <w:color w:val="auto"/>
          <w:szCs w:val="21"/>
          <w:highlight w:val="none"/>
        </w:rPr>
        <w:t>（盖单位公章）</w:t>
      </w:r>
    </w:p>
    <w:p w14:paraId="12B22F61">
      <w:pPr>
        <w:spacing w:line="440" w:lineRule="exact"/>
        <w:rPr>
          <w:color w:val="auto"/>
          <w:szCs w:val="21"/>
          <w:highlight w:val="none"/>
        </w:rPr>
      </w:pPr>
      <w:r>
        <w:rPr>
          <w:color w:val="auto"/>
          <w:szCs w:val="21"/>
          <w:highlight w:val="none"/>
        </w:rPr>
        <w:t xml:space="preserve">                                </w:t>
      </w:r>
      <w:r>
        <w:rPr>
          <w:rFonts w:hint="eastAsia"/>
          <w:color w:val="auto"/>
          <w:szCs w:val="21"/>
          <w:highlight w:val="none"/>
        </w:rPr>
        <w:t xml:space="preserve">                  </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 xml:space="preserve">日 </w:t>
      </w:r>
    </w:p>
    <w:p w14:paraId="63877F31">
      <w:pPr>
        <w:widowControl/>
        <w:jc w:val="left"/>
        <w:rPr>
          <w:rFonts w:ascii="Arial" w:hAnsi="Arial" w:eastAsia="黑体"/>
          <w:bCs/>
          <w:color w:val="auto"/>
          <w:sz w:val="32"/>
          <w:szCs w:val="32"/>
          <w:highlight w:val="none"/>
        </w:rPr>
      </w:pPr>
      <w:bookmarkStart w:id="167" w:name="_Toc475483725"/>
      <w:r>
        <w:rPr>
          <w:b/>
          <w:color w:val="auto"/>
          <w:highlight w:val="none"/>
        </w:rPr>
        <w:br w:type="page"/>
      </w:r>
    </w:p>
    <w:p w14:paraId="3E9E3D8C">
      <w:pPr>
        <w:pStyle w:val="6"/>
        <w:jc w:val="center"/>
        <w:rPr>
          <w:b w:val="0"/>
          <w:color w:val="auto"/>
          <w:highlight w:val="none"/>
        </w:rPr>
      </w:pPr>
      <w:bookmarkStart w:id="168" w:name="_Toc18550"/>
      <w:r>
        <w:rPr>
          <w:rFonts w:hint="eastAsia"/>
          <w:b w:val="0"/>
          <w:color w:val="auto"/>
          <w:highlight w:val="none"/>
        </w:rPr>
        <w:t>五、法定代表人</w:t>
      </w:r>
      <w:r>
        <w:rPr>
          <w:b w:val="0"/>
          <w:color w:val="auto"/>
          <w:highlight w:val="none"/>
        </w:rPr>
        <w:t>授权委托书</w:t>
      </w:r>
      <w:bookmarkEnd w:id="167"/>
      <w:bookmarkEnd w:id="168"/>
    </w:p>
    <w:p w14:paraId="006ED13C">
      <w:pPr>
        <w:topLinePunct/>
        <w:spacing w:line="440" w:lineRule="exact"/>
        <w:ind w:firstLine="420" w:firstLineChars="200"/>
        <w:rPr>
          <w:color w:val="auto"/>
          <w:szCs w:val="21"/>
          <w:highlight w:val="none"/>
        </w:rPr>
      </w:pPr>
      <w:r>
        <w:rPr>
          <w:color w:val="auto"/>
          <w:szCs w:val="21"/>
          <w:highlight w:val="none"/>
        </w:rPr>
        <w:t>本人</w:t>
      </w:r>
      <w:r>
        <w:rPr>
          <w:color w:val="auto"/>
          <w:szCs w:val="21"/>
          <w:highlight w:val="none"/>
          <w:u w:val="single"/>
        </w:rPr>
        <w:t xml:space="preserve">       （姓名）</w:t>
      </w:r>
      <w:r>
        <w:rPr>
          <w:color w:val="auto"/>
          <w:szCs w:val="21"/>
          <w:highlight w:val="none"/>
        </w:rPr>
        <w:t>系</w:t>
      </w:r>
      <w:r>
        <w:rPr>
          <w:color w:val="auto"/>
          <w:szCs w:val="21"/>
          <w:highlight w:val="none"/>
          <w:u w:val="single"/>
        </w:rPr>
        <w:t xml:space="preserve"> （响应人名称）</w:t>
      </w:r>
      <w:r>
        <w:rPr>
          <w:color w:val="auto"/>
          <w:szCs w:val="21"/>
          <w:highlight w:val="none"/>
        </w:rPr>
        <w:t>的法定代表人，现委托</w:t>
      </w:r>
      <w:r>
        <w:rPr>
          <w:color w:val="auto"/>
          <w:szCs w:val="21"/>
          <w:highlight w:val="none"/>
          <w:u w:val="single"/>
        </w:rPr>
        <w:t xml:space="preserve"> </w:t>
      </w:r>
      <w:r>
        <w:rPr>
          <w:rFonts w:hint="eastAsia"/>
          <w:color w:val="auto"/>
          <w:szCs w:val="21"/>
          <w:highlight w:val="none"/>
          <w:u w:val="single"/>
        </w:rPr>
        <w:t>（姓名）</w:t>
      </w:r>
      <w:r>
        <w:rPr>
          <w:color w:val="auto"/>
          <w:szCs w:val="21"/>
          <w:highlight w:val="none"/>
        </w:rPr>
        <w:t>为我方代理人。代理人根据授权，以我方名义</w:t>
      </w:r>
      <w:r>
        <w:rPr>
          <w:rFonts w:hint="eastAsia"/>
          <w:color w:val="auto"/>
          <w:szCs w:val="21"/>
          <w:highlight w:val="none"/>
        </w:rPr>
        <w:t>全权处理</w:t>
      </w:r>
      <w:r>
        <w:rPr>
          <w:rFonts w:hint="eastAsia"/>
          <w:color w:val="auto"/>
          <w:szCs w:val="21"/>
          <w:highlight w:val="none"/>
          <w:u w:val="single"/>
        </w:rPr>
        <w:t xml:space="preserve">      </w:t>
      </w:r>
      <w:r>
        <w:rPr>
          <w:color w:val="auto"/>
          <w:szCs w:val="21"/>
          <w:highlight w:val="none"/>
          <w:u w:val="single"/>
        </w:rPr>
        <w:t>（项目名称）</w:t>
      </w:r>
      <w:r>
        <w:rPr>
          <w:rFonts w:hint="eastAsia"/>
          <w:color w:val="auto"/>
          <w:szCs w:val="21"/>
          <w:highlight w:val="none"/>
          <w:u w:val="single"/>
        </w:rPr>
        <w:t xml:space="preserve">     标包：  </w:t>
      </w:r>
      <w:r>
        <w:rPr>
          <w:rFonts w:hint="eastAsia"/>
          <w:color w:val="auto"/>
          <w:szCs w:val="21"/>
          <w:highlight w:val="none"/>
        </w:rPr>
        <w:t>（</w:t>
      </w:r>
      <w:r>
        <w:rPr>
          <w:color w:val="auto"/>
          <w:szCs w:val="21"/>
          <w:highlight w:val="none"/>
        </w:rPr>
        <w:t>签署、澄清</w:t>
      </w:r>
      <w:r>
        <w:rPr>
          <w:rFonts w:hint="eastAsia"/>
          <w:color w:val="auto"/>
          <w:szCs w:val="21"/>
          <w:highlight w:val="none"/>
        </w:rPr>
        <w:t>、说明、补正</w:t>
      </w:r>
      <w:r>
        <w:rPr>
          <w:color w:val="auto"/>
          <w:szCs w:val="21"/>
          <w:highlight w:val="none"/>
        </w:rPr>
        <w:t>、递交、撤回、修改响应文件</w:t>
      </w:r>
      <w:r>
        <w:rPr>
          <w:rFonts w:hint="eastAsia"/>
          <w:color w:val="auto"/>
          <w:szCs w:val="21"/>
          <w:highlight w:val="none"/>
        </w:rPr>
        <w:t>，</w:t>
      </w:r>
      <w:r>
        <w:rPr>
          <w:color w:val="auto"/>
          <w:szCs w:val="21"/>
          <w:highlight w:val="none"/>
        </w:rPr>
        <w:t>签订合同和处理</w:t>
      </w:r>
      <w:r>
        <w:rPr>
          <w:rFonts w:hint="eastAsia"/>
          <w:color w:val="auto"/>
          <w:szCs w:val="21"/>
          <w:highlight w:val="none"/>
        </w:rPr>
        <w:t>一切</w:t>
      </w:r>
      <w:r>
        <w:rPr>
          <w:color w:val="auto"/>
          <w:szCs w:val="21"/>
          <w:highlight w:val="none"/>
        </w:rPr>
        <w:t>有关事宜</w:t>
      </w:r>
      <w:r>
        <w:rPr>
          <w:rFonts w:hint="eastAsia"/>
          <w:color w:val="auto"/>
          <w:szCs w:val="21"/>
          <w:highlight w:val="none"/>
        </w:rPr>
        <w:t>）</w:t>
      </w:r>
      <w:r>
        <w:rPr>
          <w:color w:val="auto"/>
          <w:szCs w:val="21"/>
          <w:highlight w:val="none"/>
        </w:rPr>
        <w:t>，其法律后果由我方承担。</w:t>
      </w:r>
    </w:p>
    <w:p w14:paraId="3412A323">
      <w:pPr>
        <w:spacing w:line="440" w:lineRule="exact"/>
        <w:rPr>
          <w:color w:val="auto"/>
          <w:szCs w:val="21"/>
          <w:highlight w:val="none"/>
        </w:rPr>
      </w:pPr>
      <w:r>
        <w:rPr>
          <w:color w:val="auto"/>
          <w:szCs w:val="21"/>
          <w:highlight w:val="none"/>
        </w:rPr>
        <w:t xml:space="preserve">    委托期限：</w:t>
      </w:r>
      <w:r>
        <w:rPr>
          <w:color w:val="auto"/>
          <w:szCs w:val="21"/>
          <w:highlight w:val="none"/>
          <w:u w:val="single"/>
        </w:rPr>
        <w:t xml:space="preserve">             </w:t>
      </w:r>
      <w:r>
        <w:rPr>
          <w:rFonts w:hint="eastAsia"/>
          <w:color w:val="auto"/>
          <w:szCs w:val="21"/>
          <w:highlight w:val="none"/>
        </w:rPr>
        <w:t>。</w:t>
      </w:r>
    </w:p>
    <w:p w14:paraId="23D79F26">
      <w:pPr>
        <w:spacing w:line="440" w:lineRule="exact"/>
        <w:ind w:firstLine="420" w:firstLineChars="200"/>
        <w:rPr>
          <w:color w:val="auto"/>
          <w:szCs w:val="21"/>
          <w:highlight w:val="none"/>
        </w:rPr>
      </w:pPr>
      <w:r>
        <w:rPr>
          <w:color w:val="auto"/>
          <w:szCs w:val="21"/>
          <w:highlight w:val="none"/>
        </w:rPr>
        <w:t>代理人无转委托权。</w:t>
      </w:r>
    </w:p>
    <w:p w14:paraId="75E21506">
      <w:pPr>
        <w:spacing w:line="440" w:lineRule="exact"/>
        <w:rPr>
          <w:rFonts w:ascii="宋体" w:hAnsi="宋体"/>
          <w:color w:val="auto"/>
          <w:szCs w:val="21"/>
          <w:highlight w:val="none"/>
        </w:rPr>
      </w:pPr>
      <w:r>
        <w:rPr>
          <w:rFonts w:hint="eastAsia" w:ascii="宋体" w:hAnsi="宋体"/>
          <w:color w:val="auto"/>
          <w:szCs w:val="21"/>
          <w:highlight w:val="none"/>
        </w:rPr>
        <w:t>附：委托代理人身份证复印件(需同时提供正面及背面)</w:t>
      </w:r>
    </w:p>
    <w:p w14:paraId="3EA4FE79">
      <w:pPr>
        <w:spacing w:line="500" w:lineRule="exact"/>
        <w:rPr>
          <w:rFonts w:ascii="宋体" w:hAnsi="宋体"/>
          <w:color w:val="auto"/>
          <w:szCs w:val="21"/>
          <w:highlight w:val="none"/>
        </w:rPr>
      </w:pPr>
    </w:p>
    <w:p w14:paraId="2A04F622">
      <w:pPr>
        <w:spacing w:line="440" w:lineRule="exact"/>
        <w:rPr>
          <w:color w:val="auto"/>
          <w:szCs w:val="21"/>
          <w:highlight w:val="none"/>
        </w:rPr>
      </w:pPr>
    </w:p>
    <w:p w14:paraId="5C28B3AC">
      <w:pPr>
        <w:spacing w:line="500" w:lineRule="exact"/>
        <w:rPr>
          <w:rFonts w:ascii="宋体" w:hAnsi="宋体"/>
          <w:color w:val="auto"/>
          <w:szCs w:val="21"/>
          <w:highlight w:val="none"/>
        </w:rPr>
      </w:pPr>
    </w:p>
    <w:p w14:paraId="0310A745">
      <w:pPr>
        <w:spacing w:line="440" w:lineRule="exact"/>
        <w:rPr>
          <w:color w:val="auto"/>
          <w:szCs w:val="21"/>
          <w:highlight w:val="none"/>
        </w:rPr>
      </w:pPr>
    </w:p>
    <w:p w14:paraId="6063F386">
      <w:pPr>
        <w:spacing w:line="440" w:lineRule="exact"/>
        <w:rPr>
          <w:color w:val="auto"/>
          <w:szCs w:val="21"/>
          <w:highlight w:val="none"/>
        </w:rPr>
      </w:pPr>
    </w:p>
    <w:p w14:paraId="18FFFBD3">
      <w:pPr>
        <w:spacing w:line="500" w:lineRule="exact"/>
        <w:rPr>
          <w:rFonts w:ascii="宋体" w:hAnsi="宋体"/>
          <w:color w:val="auto"/>
          <w:szCs w:val="21"/>
          <w:highlight w:val="none"/>
        </w:rPr>
      </w:pPr>
    </w:p>
    <w:p w14:paraId="04C6B268">
      <w:pPr>
        <w:spacing w:line="500" w:lineRule="exact"/>
        <w:rPr>
          <w:rFonts w:ascii="宋体" w:hAnsi="宋体"/>
          <w:color w:val="auto"/>
          <w:szCs w:val="21"/>
          <w:highlight w:val="none"/>
        </w:rPr>
      </w:pPr>
    </w:p>
    <w:p w14:paraId="5C18F162">
      <w:pPr>
        <w:spacing w:line="500" w:lineRule="exact"/>
        <w:rPr>
          <w:rFonts w:ascii="宋体" w:hAnsi="宋体"/>
          <w:color w:val="auto"/>
          <w:szCs w:val="21"/>
          <w:highlight w:val="none"/>
        </w:rPr>
      </w:pPr>
    </w:p>
    <w:p w14:paraId="3F48A78A">
      <w:pPr>
        <w:spacing w:line="440" w:lineRule="exact"/>
        <w:rPr>
          <w:color w:val="auto"/>
          <w:szCs w:val="21"/>
          <w:highlight w:val="none"/>
        </w:rPr>
      </w:pPr>
    </w:p>
    <w:p w14:paraId="647A3A5E">
      <w:pPr>
        <w:spacing w:line="440" w:lineRule="exact"/>
        <w:rPr>
          <w:color w:val="auto"/>
          <w:szCs w:val="21"/>
          <w:highlight w:val="none"/>
        </w:rPr>
      </w:pPr>
    </w:p>
    <w:p w14:paraId="63C9B9ED">
      <w:pPr>
        <w:spacing w:line="440" w:lineRule="exact"/>
        <w:rPr>
          <w:color w:val="auto"/>
          <w:szCs w:val="21"/>
          <w:highlight w:val="none"/>
        </w:rPr>
      </w:pPr>
    </w:p>
    <w:p w14:paraId="15FA1748">
      <w:pPr>
        <w:spacing w:line="440" w:lineRule="exact"/>
        <w:rPr>
          <w:color w:val="auto"/>
          <w:szCs w:val="21"/>
          <w:highlight w:val="none"/>
        </w:rPr>
      </w:pPr>
    </w:p>
    <w:p w14:paraId="4242407A">
      <w:pPr>
        <w:spacing w:line="440" w:lineRule="exact"/>
        <w:jc w:val="right"/>
        <w:rPr>
          <w:color w:val="auto"/>
          <w:szCs w:val="21"/>
          <w:highlight w:val="none"/>
        </w:rPr>
      </w:pPr>
      <w:r>
        <w:rPr>
          <w:color w:val="auto"/>
          <w:szCs w:val="21"/>
          <w:highlight w:val="none"/>
        </w:rPr>
        <w:t>响应人</w:t>
      </w:r>
      <w:r>
        <w:rPr>
          <w:rFonts w:hint="eastAsia"/>
          <w:color w:val="auto"/>
          <w:szCs w:val="21"/>
          <w:highlight w:val="none"/>
        </w:rPr>
        <w:t>名称</w:t>
      </w:r>
      <w:r>
        <w:rPr>
          <w:color w:val="auto"/>
          <w:szCs w:val="21"/>
          <w:highlight w:val="none"/>
        </w:rPr>
        <w:t>：</w:t>
      </w:r>
      <w:r>
        <w:rPr>
          <w:color w:val="auto"/>
          <w:szCs w:val="21"/>
          <w:highlight w:val="none"/>
          <w:u w:val="single"/>
        </w:rPr>
        <w:t xml:space="preserve">                         </w:t>
      </w:r>
      <w:r>
        <w:rPr>
          <w:color w:val="auto"/>
          <w:szCs w:val="21"/>
          <w:highlight w:val="none"/>
        </w:rPr>
        <w:t>（盖单位公章）</w:t>
      </w:r>
    </w:p>
    <w:p w14:paraId="0292196E">
      <w:pPr>
        <w:spacing w:line="440" w:lineRule="exact"/>
        <w:jc w:val="right"/>
        <w:rPr>
          <w:color w:val="auto"/>
          <w:szCs w:val="21"/>
          <w:highlight w:val="none"/>
        </w:rPr>
      </w:pPr>
      <w:r>
        <w:rPr>
          <w:color w:val="auto"/>
          <w:szCs w:val="21"/>
          <w:highlight w:val="none"/>
        </w:rPr>
        <w:t>法定代表人：</w:t>
      </w:r>
      <w:r>
        <w:rPr>
          <w:color w:val="auto"/>
          <w:szCs w:val="21"/>
          <w:highlight w:val="none"/>
          <w:u w:val="single"/>
        </w:rPr>
        <w:t xml:space="preserve">                               </w:t>
      </w:r>
      <w:r>
        <w:rPr>
          <w:color w:val="auto"/>
          <w:szCs w:val="21"/>
          <w:highlight w:val="none"/>
        </w:rPr>
        <w:t>（签字）</w:t>
      </w:r>
    </w:p>
    <w:p w14:paraId="100F835F">
      <w:pPr>
        <w:spacing w:line="440" w:lineRule="exact"/>
        <w:ind w:right="420" w:firstLine="2940" w:firstLineChars="1400"/>
        <w:rPr>
          <w:color w:val="auto"/>
          <w:szCs w:val="21"/>
          <w:highlight w:val="none"/>
        </w:rPr>
      </w:pPr>
      <w:r>
        <w:rPr>
          <w:color w:val="auto"/>
          <w:szCs w:val="21"/>
          <w:highlight w:val="none"/>
        </w:rPr>
        <w:t>身份证号码：</w:t>
      </w:r>
      <w:r>
        <w:rPr>
          <w:color w:val="auto"/>
          <w:szCs w:val="21"/>
          <w:highlight w:val="none"/>
          <w:u w:val="single"/>
        </w:rPr>
        <w:t xml:space="preserve">                                     </w:t>
      </w:r>
    </w:p>
    <w:p w14:paraId="1676EB82">
      <w:pPr>
        <w:spacing w:line="440" w:lineRule="exact"/>
        <w:ind w:right="105"/>
        <w:jc w:val="right"/>
        <w:rPr>
          <w:color w:val="auto"/>
          <w:szCs w:val="21"/>
          <w:highlight w:val="none"/>
        </w:rPr>
      </w:pPr>
      <w:r>
        <w:rPr>
          <w:color w:val="auto"/>
          <w:szCs w:val="21"/>
          <w:highlight w:val="none"/>
        </w:rPr>
        <w:t>委托代理人：</w:t>
      </w:r>
      <w:r>
        <w:rPr>
          <w:color w:val="auto"/>
          <w:szCs w:val="21"/>
          <w:highlight w:val="none"/>
          <w:u w:val="single"/>
        </w:rPr>
        <w:t xml:space="preserve">                              </w:t>
      </w:r>
      <w:r>
        <w:rPr>
          <w:color w:val="auto"/>
          <w:szCs w:val="21"/>
          <w:highlight w:val="none"/>
        </w:rPr>
        <w:t xml:space="preserve">（签字） </w:t>
      </w:r>
    </w:p>
    <w:p w14:paraId="3F2018CB">
      <w:pPr>
        <w:spacing w:line="440" w:lineRule="exact"/>
        <w:ind w:right="420" w:firstLine="2940" w:firstLineChars="1400"/>
        <w:rPr>
          <w:color w:val="auto"/>
          <w:szCs w:val="21"/>
          <w:highlight w:val="none"/>
        </w:rPr>
      </w:pPr>
      <w:r>
        <w:rPr>
          <w:color w:val="auto"/>
          <w:szCs w:val="21"/>
          <w:highlight w:val="none"/>
        </w:rPr>
        <w:t>身份证号码：</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1101ABB0">
      <w:pPr>
        <w:spacing w:line="440" w:lineRule="exact"/>
        <w:ind w:firstLine="2310" w:firstLineChars="1100"/>
        <w:jc w:val="right"/>
        <w:rPr>
          <w:color w:val="auto"/>
          <w:szCs w:val="21"/>
          <w:highlight w:val="none"/>
        </w:rPr>
      </w:pP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p>
    <w:p w14:paraId="7A4D4D18">
      <w:pPr>
        <w:pStyle w:val="6"/>
        <w:spacing w:before="0"/>
        <w:jc w:val="center"/>
        <w:rPr>
          <w:color w:val="auto"/>
          <w:highlight w:val="none"/>
        </w:rPr>
        <w:sectPr>
          <w:pgSz w:w="11906" w:h="16838"/>
          <w:pgMar w:top="1418" w:right="1800" w:bottom="1440" w:left="1800" w:header="851" w:footer="992" w:gutter="0"/>
          <w:cols w:space="720" w:num="1"/>
          <w:docGrid w:type="lines" w:linePitch="312" w:charSpace="0"/>
        </w:sectPr>
      </w:pPr>
    </w:p>
    <w:p w14:paraId="0075E26B">
      <w:pPr>
        <w:pStyle w:val="6"/>
        <w:jc w:val="center"/>
        <w:rPr>
          <w:color w:val="auto"/>
          <w:highlight w:val="none"/>
        </w:rPr>
      </w:pPr>
      <w:bookmarkStart w:id="169" w:name="_Toc179632816"/>
      <w:bookmarkStart w:id="170" w:name="_Toc152045796"/>
      <w:bookmarkStart w:id="171" w:name="_Toc144974864"/>
      <w:bookmarkStart w:id="172" w:name="_Toc338669155"/>
      <w:bookmarkStart w:id="173" w:name="_Toc152042585"/>
      <w:bookmarkStart w:id="174" w:name="_Toc247085882"/>
      <w:bookmarkStart w:id="175" w:name="_Toc246996364"/>
      <w:bookmarkStart w:id="176" w:name="_Toc246997107"/>
      <w:bookmarkStart w:id="177" w:name="_Toc6978"/>
      <w:r>
        <w:rPr>
          <w:rFonts w:hint="eastAsia"/>
          <w:color w:val="auto"/>
          <w:highlight w:val="none"/>
        </w:rPr>
        <w:t>六</w:t>
      </w:r>
      <w:r>
        <w:rPr>
          <w:color w:val="auto"/>
          <w:highlight w:val="none"/>
        </w:rPr>
        <w:t>、</w:t>
      </w:r>
      <w:r>
        <w:rPr>
          <w:rFonts w:hint="eastAsia"/>
          <w:color w:val="auto"/>
          <w:highlight w:val="none"/>
        </w:rPr>
        <w:t>项目实施</w:t>
      </w:r>
      <w:r>
        <w:rPr>
          <w:color w:val="auto"/>
          <w:highlight w:val="none"/>
        </w:rPr>
        <w:t>方案</w:t>
      </w:r>
      <w:bookmarkEnd w:id="169"/>
      <w:bookmarkEnd w:id="170"/>
      <w:bookmarkEnd w:id="171"/>
      <w:bookmarkEnd w:id="172"/>
      <w:bookmarkEnd w:id="173"/>
      <w:bookmarkEnd w:id="174"/>
      <w:bookmarkEnd w:id="175"/>
      <w:bookmarkEnd w:id="176"/>
      <w:bookmarkEnd w:id="177"/>
    </w:p>
    <w:p w14:paraId="7ACEC513">
      <w:pPr>
        <w:spacing w:line="440" w:lineRule="exact"/>
        <w:rPr>
          <w:color w:val="auto"/>
          <w:szCs w:val="21"/>
          <w:highlight w:val="none"/>
        </w:rPr>
      </w:pPr>
      <w:r>
        <w:rPr>
          <w:rFonts w:hint="eastAsia"/>
          <w:color w:val="auto"/>
          <w:szCs w:val="21"/>
          <w:highlight w:val="none"/>
        </w:rPr>
        <w:t>响应人应根据第四章“用户需求书/技术规范书”中的要求制定项目实施方案。竞争性谈判方可以根据实际情况增加内容，但不得擅自减少有关内容。格式自拟。</w:t>
      </w:r>
    </w:p>
    <w:p w14:paraId="5D180B15">
      <w:pPr>
        <w:widowControl/>
        <w:jc w:val="left"/>
        <w:rPr>
          <w:color w:val="auto"/>
          <w:szCs w:val="21"/>
          <w:highlight w:val="none"/>
        </w:rPr>
      </w:pPr>
      <w:r>
        <w:rPr>
          <w:color w:val="auto"/>
          <w:szCs w:val="21"/>
          <w:highlight w:val="none"/>
        </w:rPr>
        <w:br w:type="page"/>
      </w:r>
    </w:p>
    <w:p w14:paraId="3C18EC88">
      <w:pPr>
        <w:pStyle w:val="6"/>
        <w:jc w:val="center"/>
        <w:rPr>
          <w:color w:val="auto"/>
          <w:szCs w:val="21"/>
          <w:highlight w:val="none"/>
        </w:rPr>
      </w:pPr>
      <w:bookmarkStart w:id="178" w:name="_Toc17796"/>
      <w:r>
        <w:rPr>
          <w:rFonts w:hint="eastAsia"/>
          <w:color w:val="auto"/>
          <w:highlight w:val="none"/>
        </w:rPr>
        <w:t>七</w:t>
      </w:r>
      <w:r>
        <w:rPr>
          <w:color w:val="auto"/>
          <w:highlight w:val="none"/>
        </w:rPr>
        <w:t>、项目管理机构</w:t>
      </w:r>
      <w:bookmarkEnd w:id="178"/>
    </w:p>
    <w:p w14:paraId="3915C9DE">
      <w:pPr>
        <w:spacing w:before="312" w:beforeLines="100" w:after="312" w:afterLines="100" w:line="440" w:lineRule="exact"/>
        <w:jc w:val="center"/>
        <w:rPr>
          <w:rFonts w:ascii="Arial" w:hAnsi="Arial" w:eastAsia="黑体"/>
          <w:b/>
          <w:bCs/>
          <w:color w:val="auto"/>
          <w:sz w:val="32"/>
          <w:szCs w:val="32"/>
          <w:highlight w:val="none"/>
        </w:rPr>
      </w:pPr>
      <w:bookmarkStart w:id="179" w:name="_Toc152045804"/>
      <w:bookmarkStart w:id="180" w:name="_Toc247085888"/>
      <w:bookmarkStart w:id="181" w:name="_Toc179632824"/>
      <w:bookmarkStart w:id="182" w:name="_Toc144974872"/>
      <w:bookmarkStart w:id="183" w:name="_Toc334766997"/>
      <w:bookmarkStart w:id="184" w:name="_Toc246996370"/>
      <w:bookmarkStart w:id="185" w:name="_Toc326223615"/>
      <w:bookmarkStart w:id="186" w:name="_Toc246997113"/>
      <w:bookmarkStart w:id="187" w:name="_Toc152042593"/>
      <w:bookmarkStart w:id="188" w:name="_Toc332188244"/>
      <w:r>
        <w:rPr>
          <w:rFonts w:ascii="Arial" w:hAnsi="Arial" w:eastAsia="黑体"/>
          <w:b/>
          <w:bCs/>
          <w:color w:val="auto"/>
          <w:sz w:val="32"/>
          <w:szCs w:val="32"/>
          <w:highlight w:val="none"/>
        </w:rPr>
        <w:t>（一）项目管理机构组成表</w:t>
      </w:r>
      <w:bookmarkEnd w:id="179"/>
      <w:bookmarkEnd w:id="180"/>
      <w:bookmarkEnd w:id="181"/>
      <w:bookmarkEnd w:id="182"/>
      <w:bookmarkEnd w:id="183"/>
      <w:bookmarkEnd w:id="184"/>
      <w:bookmarkEnd w:id="185"/>
      <w:bookmarkEnd w:id="186"/>
      <w:bookmarkEnd w:id="187"/>
      <w:bookmarkEnd w:id="188"/>
    </w:p>
    <w:tbl>
      <w:tblPr>
        <w:tblStyle w:val="38"/>
        <w:tblW w:w="9639"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993"/>
        <w:gridCol w:w="958"/>
        <w:gridCol w:w="709"/>
        <w:gridCol w:w="850"/>
        <w:gridCol w:w="709"/>
        <w:gridCol w:w="709"/>
        <w:gridCol w:w="709"/>
        <w:gridCol w:w="992"/>
        <w:gridCol w:w="1876"/>
      </w:tblGrid>
      <w:tr w14:paraId="34D4C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34" w:type="dxa"/>
            <w:vMerge w:val="restart"/>
            <w:vAlign w:val="center"/>
          </w:tcPr>
          <w:p w14:paraId="52910D6C">
            <w:pPr>
              <w:spacing w:line="440" w:lineRule="exact"/>
              <w:jc w:val="center"/>
              <w:rPr>
                <w:color w:val="auto"/>
                <w:szCs w:val="21"/>
                <w:highlight w:val="none"/>
              </w:rPr>
            </w:pPr>
            <w:r>
              <w:rPr>
                <w:color w:val="auto"/>
                <w:szCs w:val="21"/>
                <w:highlight w:val="none"/>
              </w:rPr>
              <w:t>职务</w:t>
            </w:r>
          </w:p>
        </w:tc>
        <w:tc>
          <w:tcPr>
            <w:tcW w:w="993" w:type="dxa"/>
            <w:vMerge w:val="restart"/>
            <w:vAlign w:val="center"/>
          </w:tcPr>
          <w:p w14:paraId="004FF1D5">
            <w:pPr>
              <w:spacing w:line="440" w:lineRule="exact"/>
              <w:jc w:val="center"/>
              <w:rPr>
                <w:color w:val="auto"/>
                <w:szCs w:val="21"/>
                <w:highlight w:val="none"/>
              </w:rPr>
            </w:pPr>
            <w:r>
              <w:rPr>
                <w:color w:val="auto"/>
                <w:szCs w:val="21"/>
                <w:highlight w:val="none"/>
              </w:rPr>
              <w:t>姓名</w:t>
            </w:r>
          </w:p>
        </w:tc>
        <w:tc>
          <w:tcPr>
            <w:tcW w:w="958" w:type="dxa"/>
            <w:vMerge w:val="restart"/>
            <w:vAlign w:val="center"/>
          </w:tcPr>
          <w:p w14:paraId="5F35A447">
            <w:pPr>
              <w:spacing w:line="440" w:lineRule="exact"/>
              <w:jc w:val="center"/>
              <w:rPr>
                <w:color w:val="auto"/>
                <w:szCs w:val="21"/>
                <w:highlight w:val="none"/>
              </w:rPr>
            </w:pPr>
            <w:r>
              <w:rPr>
                <w:color w:val="auto"/>
                <w:szCs w:val="21"/>
                <w:highlight w:val="none"/>
              </w:rPr>
              <w:t>职称</w:t>
            </w:r>
          </w:p>
        </w:tc>
        <w:tc>
          <w:tcPr>
            <w:tcW w:w="709" w:type="dxa"/>
            <w:vMerge w:val="restart"/>
            <w:vAlign w:val="center"/>
          </w:tcPr>
          <w:p w14:paraId="4B77146D">
            <w:pPr>
              <w:spacing w:line="440" w:lineRule="exact"/>
              <w:jc w:val="center"/>
              <w:rPr>
                <w:color w:val="auto"/>
                <w:szCs w:val="21"/>
                <w:highlight w:val="none"/>
              </w:rPr>
            </w:pPr>
            <w:r>
              <w:rPr>
                <w:rFonts w:hint="eastAsia"/>
                <w:color w:val="auto"/>
                <w:szCs w:val="21"/>
                <w:highlight w:val="none"/>
              </w:rPr>
              <w:t>学历</w:t>
            </w:r>
          </w:p>
        </w:tc>
        <w:tc>
          <w:tcPr>
            <w:tcW w:w="2977" w:type="dxa"/>
            <w:gridSpan w:val="4"/>
            <w:vAlign w:val="center"/>
          </w:tcPr>
          <w:p w14:paraId="27FF08DA">
            <w:pPr>
              <w:spacing w:line="440" w:lineRule="exact"/>
              <w:jc w:val="center"/>
              <w:rPr>
                <w:color w:val="auto"/>
                <w:szCs w:val="21"/>
                <w:highlight w:val="none"/>
              </w:rPr>
            </w:pPr>
            <w:r>
              <w:rPr>
                <w:color w:val="auto"/>
                <w:szCs w:val="21"/>
                <w:highlight w:val="none"/>
              </w:rPr>
              <w:t>执业或职业资格证明</w:t>
            </w:r>
          </w:p>
        </w:tc>
        <w:tc>
          <w:tcPr>
            <w:tcW w:w="992" w:type="dxa"/>
            <w:vMerge w:val="restart"/>
            <w:vAlign w:val="center"/>
          </w:tcPr>
          <w:p w14:paraId="114F0C24">
            <w:pPr>
              <w:spacing w:line="440" w:lineRule="exact"/>
              <w:jc w:val="center"/>
              <w:rPr>
                <w:color w:val="auto"/>
                <w:szCs w:val="21"/>
                <w:highlight w:val="none"/>
              </w:rPr>
            </w:pPr>
            <w:r>
              <w:rPr>
                <w:rFonts w:hint="eastAsia"/>
                <w:color w:val="auto"/>
                <w:szCs w:val="21"/>
                <w:highlight w:val="none"/>
              </w:rPr>
              <w:t>同类项目工作年限（年）</w:t>
            </w:r>
          </w:p>
        </w:tc>
        <w:tc>
          <w:tcPr>
            <w:tcW w:w="1876" w:type="dxa"/>
            <w:vMerge w:val="restart"/>
            <w:vAlign w:val="center"/>
          </w:tcPr>
          <w:p w14:paraId="773A532A">
            <w:pPr>
              <w:spacing w:line="440" w:lineRule="exact"/>
              <w:jc w:val="center"/>
              <w:rPr>
                <w:color w:val="auto"/>
                <w:szCs w:val="21"/>
                <w:highlight w:val="none"/>
              </w:rPr>
            </w:pPr>
            <w:r>
              <w:rPr>
                <w:rFonts w:hint="eastAsia"/>
                <w:color w:val="auto"/>
                <w:szCs w:val="21"/>
                <w:highlight w:val="none"/>
              </w:rPr>
              <w:t>工作简介（项目经验）</w:t>
            </w:r>
          </w:p>
        </w:tc>
      </w:tr>
      <w:tr w14:paraId="19D92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34" w:type="dxa"/>
            <w:vMerge w:val="continue"/>
            <w:vAlign w:val="center"/>
          </w:tcPr>
          <w:p w14:paraId="59B73021">
            <w:pPr>
              <w:spacing w:line="440" w:lineRule="exact"/>
              <w:jc w:val="center"/>
              <w:rPr>
                <w:color w:val="auto"/>
                <w:szCs w:val="21"/>
                <w:highlight w:val="none"/>
              </w:rPr>
            </w:pPr>
          </w:p>
        </w:tc>
        <w:tc>
          <w:tcPr>
            <w:tcW w:w="993" w:type="dxa"/>
            <w:vMerge w:val="continue"/>
            <w:vAlign w:val="center"/>
          </w:tcPr>
          <w:p w14:paraId="644CCE87">
            <w:pPr>
              <w:spacing w:line="440" w:lineRule="exact"/>
              <w:jc w:val="center"/>
              <w:rPr>
                <w:color w:val="auto"/>
                <w:szCs w:val="21"/>
                <w:highlight w:val="none"/>
              </w:rPr>
            </w:pPr>
          </w:p>
        </w:tc>
        <w:tc>
          <w:tcPr>
            <w:tcW w:w="958" w:type="dxa"/>
            <w:vMerge w:val="continue"/>
            <w:vAlign w:val="center"/>
          </w:tcPr>
          <w:p w14:paraId="7448AC42">
            <w:pPr>
              <w:spacing w:line="440" w:lineRule="exact"/>
              <w:jc w:val="center"/>
              <w:rPr>
                <w:color w:val="auto"/>
                <w:szCs w:val="21"/>
                <w:highlight w:val="none"/>
              </w:rPr>
            </w:pPr>
          </w:p>
        </w:tc>
        <w:tc>
          <w:tcPr>
            <w:tcW w:w="709" w:type="dxa"/>
            <w:vMerge w:val="continue"/>
            <w:vAlign w:val="center"/>
          </w:tcPr>
          <w:p w14:paraId="1EEFDF5D">
            <w:pPr>
              <w:spacing w:line="440" w:lineRule="exact"/>
              <w:jc w:val="center"/>
              <w:rPr>
                <w:color w:val="auto"/>
                <w:szCs w:val="21"/>
                <w:highlight w:val="none"/>
              </w:rPr>
            </w:pPr>
          </w:p>
        </w:tc>
        <w:tc>
          <w:tcPr>
            <w:tcW w:w="850" w:type="dxa"/>
            <w:vAlign w:val="center"/>
          </w:tcPr>
          <w:p w14:paraId="0EA72311">
            <w:pPr>
              <w:spacing w:line="440" w:lineRule="exact"/>
              <w:jc w:val="center"/>
              <w:rPr>
                <w:color w:val="auto"/>
                <w:szCs w:val="21"/>
                <w:highlight w:val="none"/>
              </w:rPr>
            </w:pPr>
            <w:r>
              <w:rPr>
                <w:color w:val="auto"/>
                <w:szCs w:val="21"/>
                <w:highlight w:val="none"/>
              </w:rPr>
              <w:t>证书名称</w:t>
            </w:r>
          </w:p>
        </w:tc>
        <w:tc>
          <w:tcPr>
            <w:tcW w:w="709" w:type="dxa"/>
            <w:vAlign w:val="center"/>
          </w:tcPr>
          <w:p w14:paraId="768776BF">
            <w:pPr>
              <w:spacing w:line="440" w:lineRule="exact"/>
              <w:jc w:val="center"/>
              <w:rPr>
                <w:color w:val="auto"/>
                <w:szCs w:val="21"/>
                <w:highlight w:val="none"/>
              </w:rPr>
            </w:pPr>
            <w:r>
              <w:rPr>
                <w:color w:val="auto"/>
                <w:szCs w:val="21"/>
                <w:highlight w:val="none"/>
              </w:rPr>
              <w:t>级别</w:t>
            </w:r>
          </w:p>
        </w:tc>
        <w:tc>
          <w:tcPr>
            <w:tcW w:w="709" w:type="dxa"/>
            <w:vAlign w:val="center"/>
          </w:tcPr>
          <w:p w14:paraId="5DEBC494">
            <w:pPr>
              <w:spacing w:line="440" w:lineRule="exact"/>
              <w:jc w:val="center"/>
              <w:rPr>
                <w:color w:val="auto"/>
                <w:szCs w:val="21"/>
                <w:highlight w:val="none"/>
              </w:rPr>
            </w:pPr>
            <w:r>
              <w:rPr>
                <w:color w:val="auto"/>
                <w:szCs w:val="21"/>
                <w:highlight w:val="none"/>
              </w:rPr>
              <w:t>证号</w:t>
            </w:r>
          </w:p>
        </w:tc>
        <w:tc>
          <w:tcPr>
            <w:tcW w:w="709" w:type="dxa"/>
            <w:vAlign w:val="center"/>
          </w:tcPr>
          <w:p w14:paraId="3F8CCDFB">
            <w:pPr>
              <w:spacing w:line="440" w:lineRule="exact"/>
              <w:jc w:val="center"/>
              <w:rPr>
                <w:color w:val="auto"/>
                <w:szCs w:val="21"/>
                <w:highlight w:val="none"/>
              </w:rPr>
            </w:pPr>
            <w:r>
              <w:rPr>
                <w:color w:val="auto"/>
                <w:szCs w:val="21"/>
                <w:highlight w:val="none"/>
              </w:rPr>
              <w:t>专业</w:t>
            </w:r>
          </w:p>
        </w:tc>
        <w:tc>
          <w:tcPr>
            <w:tcW w:w="992" w:type="dxa"/>
            <w:vMerge w:val="continue"/>
            <w:vAlign w:val="center"/>
          </w:tcPr>
          <w:p w14:paraId="61A50B29">
            <w:pPr>
              <w:spacing w:line="440" w:lineRule="exact"/>
              <w:jc w:val="center"/>
              <w:rPr>
                <w:color w:val="auto"/>
                <w:szCs w:val="21"/>
                <w:highlight w:val="none"/>
              </w:rPr>
            </w:pPr>
          </w:p>
        </w:tc>
        <w:tc>
          <w:tcPr>
            <w:tcW w:w="1876" w:type="dxa"/>
            <w:vMerge w:val="continue"/>
            <w:vAlign w:val="center"/>
          </w:tcPr>
          <w:p w14:paraId="3627398C">
            <w:pPr>
              <w:spacing w:line="440" w:lineRule="exact"/>
              <w:jc w:val="center"/>
              <w:rPr>
                <w:color w:val="auto"/>
                <w:szCs w:val="21"/>
                <w:highlight w:val="none"/>
              </w:rPr>
            </w:pPr>
          </w:p>
        </w:tc>
      </w:tr>
      <w:tr w14:paraId="3E809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14:paraId="64AFCCA3">
            <w:pPr>
              <w:spacing w:line="440" w:lineRule="exact"/>
              <w:jc w:val="center"/>
              <w:rPr>
                <w:color w:val="auto"/>
                <w:szCs w:val="21"/>
                <w:highlight w:val="none"/>
              </w:rPr>
            </w:pPr>
          </w:p>
        </w:tc>
        <w:tc>
          <w:tcPr>
            <w:tcW w:w="993" w:type="dxa"/>
            <w:vAlign w:val="center"/>
          </w:tcPr>
          <w:p w14:paraId="5B03F87D">
            <w:pPr>
              <w:spacing w:line="440" w:lineRule="exact"/>
              <w:jc w:val="center"/>
              <w:rPr>
                <w:color w:val="auto"/>
                <w:szCs w:val="21"/>
                <w:highlight w:val="none"/>
              </w:rPr>
            </w:pPr>
          </w:p>
        </w:tc>
        <w:tc>
          <w:tcPr>
            <w:tcW w:w="958" w:type="dxa"/>
            <w:vAlign w:val="center"/>
          </w:tcPr>
          <w:p w14:paraId="7FF1243F">
            <w:pPr>
              <w:spacing w:line="440" w:lineRule="exact"/>
              <w:jc w:val="center"/>
              <w:rPr>
                <w:color w:val="auto"/>
                <w:szCs w:val="21"/>
                <w:highlight w:val="none"/>
              </w:rPr>
            </w:pPr>
          </w:p>
        </w:tc>
        <w:tc>
          <w:tcPr>
            <w:tcW w:w="709" w:type="dxa"/>
            <w:vAlign w:val="center"/>
          </w:tcPr>
          <w:p w14:paraId="78C2BA5E">
            <w:pPr>
              <w:spacing w:line="440" w:lineRule="exact"/>
              <w:jc w:val="center"/>
              <w:rPr>
                <w:color w:val="auto"/>
                <w:szCs w:val="21"/>
                <w:highlight w:val="none"/>
              </w:rPr>
            </w:pPr>
          </w:p>
        </w:tc>
        <w:tc>
          <w:tcPr>
            <w:tcW w:w="850" w:type="dxa"/>
            <w:vAlign w:val="center"/>
          </w:tcPr>
          <w:p w14:paraId="2EFDA368">
            <w:pPr>
              <w:spacing w:line="440" w:lineRule="exact"/>
              <w:jc w:val="center"/>
              <w:rPr>
                <w:color w:val="auto"/>
                <w:szCs w:val="21"/>
                <w:highlight w:val="none"/>
              </w:rPr>
            </w:pPr>
          </w:p>
        </w:tc>
        <w:tc>
          <w:tcPr>
            <w:tcW w:w="709" w:type="dxa"/>
            <w:vAlign w:val="center"/>
          </w:tcPr>
          <w:p w14:paraId="7FA0A574">
            <w:pPr>
              <w:spacing w:line="440" w:lineRule="exact"/>
              <w:jc w:val="center"/>
              <w:rPr>
                <w:color w:val="auto"/>
                <w:szCs w:val="21"/>
                <w:highlight w:val="none"/>
              </w:rPr>
            </w:pPr>
          </w:p>
        </w:tc>
        <w:tc>
          <w:tcPr>
            <w:tcW w:w="709" w:type="dxa"/>
            <w:vAlign w:val="center"/>
          </w:tcPr>
          <w:p w14:paraId="04F8D967">
            <w:pPr>
              <w:spacing w:line="440" w:lineRule="exact"/>
              <w:jc w:val="center"/>
              <w:rPr>
                <w:color w:val="auto"/>
                <w:szCs w:val="21"/>
                <w:highlight w:val="none"/>
              </w:rPr>
            </w:pPr>
          </w:p>
        </w:tc>
        <w:tc>
          <w:tcPr>
            <w:tcW w:w="709" w:type="dxa"/>
            <w:vAlign w:val="center"/>
          </w:tcPr>
          <w:p w14:paraId="3BD381C1">
            <w:pPr>
              <w:spacing w:line="440" w:lineRule="exact"/>
              <w:jc w:val="center"/>
              <w:rPr>
                <w:color w:val="auto"/>
                <w:szCs w:val="21"/>
                <w:highlight w:val="none"/>
              </w:rPr>
            </w:pPr>
          </w:p>
        </w:tc>
        <w:tc>
          <w:tcPr>
            <w:tcW w:w="992" w:type="dxa"/>
            <w:vAlign w:val="center"/>
          </w:tcPr>
          <w:p w14:paraId="1280AB63">
            <w:pPr>
              <w:spacing w:line="440" w:lineRule="exact"/>
              <w:jc w:val="center"/>
              <w:rPr>
                <w:color w:val="auto"/>
                <w:szCs w:val="21"/>
                <w:highlight w:val="none"/>
              </w:rPr>
            </w:pPr>
          </w:p>
        </w:tc>
        <w:tc>
          <w:tcPr>
            <w:tcW w:w="1876" w:type="dxa"/>
            <w:vAlign w:val="center"/>
          </w:tcPr>
          <w:p w14:paraId="2A035F6F">
            <w:pPr>
              <w:spacing w:line="440" w:lineRule="exact"/>
              <w:jc w:val="center"/>
              <w:rPr>
                <w:color w:val="auto"/>
                <w:szCs w:val="21"/>
                <w:highlight w:val="none"/>
              </w:rPr>
            </w:pPr>
          </w:p>
        </w:tc>
      </w:tr>
      <w:tr w14:paraId="43930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14:paraId="42CBA507">
            <w:pPr>
              <w:spacing w:line="440" w:lineRule="exact"/>
              <w:jc w:val="center"/>
              <w:rPr>
                <w:color w:val="auto"/>
                <w:szCs w:val="21"/>
                <w:highlight w:val="none"/>
              </w:rPr>
            </w:pPr>
          </w:p>
        </w:tc>
        <w:tc>
          <w:tcPr>
            <w:tcW w:w="993" w:type="dxa"/>
          </w:tcPr>
          <w:p w14:paraId="4E04DF17">
            <w:pPr>
              <w:spacing w:line="440" w:lineRule="exact"/>
              <w:jc w:val="center"/>
              <w:rPr>
                <w:color w:val="auto"/>
                <w:szCs w:val="21"/>
                <w:highlight w:val="none"/>
              </w:rPr>
            </w:pPr>
          </w:p>
        </w:tc>
        <w:tc>
          <w:tcPr>
            <w:tcW w:w="958" w:type="dxa"/>
          </w:tcPr>
          <w:p w14:paraId="00F4C08F">
            <w:pPr>
              <w:spacing w:line="440" w:lineRule="exact"/>
              <w:jc w:val="center"/>
              <w:rPr>
                <w:color w:val="auto"/>
                <w:szCs w:val="21"/>
                <w:highlight w:val="none"/>
              </w:rPr>
            </w:pPr>
          </w:p>
        </w:tc>
        <w:tc>
          <w:tcPr>
            <w:tcW w:w="709" w:type="dxa"/>
          </w:tcPr>
          <w:p w14:paraId="7AE1B6DF">
            <w:pPr>
              <w:spacing w:line="440" w:lineRule="exact"/>
              <w:jc w:val="center"/>
              <w:rPr>
                <w:color w:val="auto"/>
                <w:szCs w:val="21"/>
                <w:highlight w:val="none"/>
              </w:rPr>
            </w:pPr>
          </w:p>
        </w:tc>
        <w:tc>
          <w:tcPr>
            <w:tcW w:w="850" w:type="dxa"/>
          </w:tcPr>
          <w:p w14:paraId="4B1EE000">
            <w:pPr>
              <w:spacing w:line="440" w:lineRule="exact"/>
              <w:jc w:val="center"/>
              <w:rPr>
                <w:color w:val="auto"/>
                <w:szCs w:val="21"/>
                <w:highlight w:val="none"/>
              </w:rPr>
            </w:pPr>
          </w:p>
        </w:tc>
        <w:tc>
          <w:tcPr>
            <w:tcW w:w="709" w:type="dxa"/>
          </w:tcPr>
          <w:p w14:paraId="562A6561">
            <w:pPr>
              <w:spacing w:line="440" w:lineRule="exact"/>
              <w:jc w:val="center"/>
              <w:rPr>
                <w:color w:val="auto"/>
                <w:szCs w:val="21"/>
                <w:highlight w:val="none"/>
              </w:rPr>
            </w:pPr>
          </w:p>
        </w:tc>
        <w:tc>
          <w:tcPr>
            <w:tcW w:w="709" w:type="dxa"/>
          </w:tcPr>
          <w:p w14:paraId="200D9C19">
            <w:pPr>
              <w:spacing w:line="440" w:lineRule="exact"/>
              <w:jc w:val="center"/>
              <w:rPr>
                <w:color w:val="auto"/>
                <w:szCs w:val="21"/>
                <w:highlight w:val="none"/>
              </w:rPr>
            </w:pPr>
          </w:p>
        </w:tc>
        <w:tc>
          <w:tcPr>
            <w:tcW w:w="709" w:type="dxa"/>
          </w:tcPr>
          <w:p w14:paraId="566BAB21">
            <w:pPr>
              <w:spacing w:line="440" w:lineRule="exact"/>
              <w:jc w:val="center"/>
              <w:rPr>
                <w:color w:val="auto"/>
                <w:szCs w:val="21"/>
                <w:highlight w:val="none"/>
              </w:rPr>
            </w:pPr>
          </w:p>
        </w:tc>
        <w:tc>
          <w:tcPr>
            <w:tcW w:w="992" w:type="dxa"/>
          </w:tcPr>
          <w:p w14:paraId="02701ED8">
            <w:pPr>
              <w:spacing w:line="440" w:lineRule="exact"/>
              <w:jc w:val="center"/>
              <w:rPr>
                <w:color w:val="auto"/>
                <w:szCs w:val="21"/>
                <w:highlight w:val="none"/>
              </w:rPr>
            </w:pPr>
          </w:p>
        </w:tc>
        <w:tc>
          <w:tcPr>
            <w:tcW w:w="1876" w:type="dxa"/>
          </w:tcPr>
          <w:p w14:paraId="44A96036">
            <w:pPr>
              <w:spacing w:line="440" w:lineRule="exact"/>
              <w:jc w:val="center"/>
              <w:rPr>
                <w:color w:val="auto"/>
                <w:szCs w:val="21"/>
                <w:highlight w:val="none"/>
              </w:rPr>
            </w:pPr>
          </w:p>
        </w:tc>
      </w:tr>
      <w:tr w14:paraId="42C12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14:paraId="2C0C21D5">
            <w:pPr>
              <w:spacing w:line="440" w:lineRule="exact"/>
              <w:jc w:val="center"/>
              <w:rPr>
                <w:color w:val="auto"/>
                <w:szCs w:val="21"/>
                <w:highlight w:val="none"/>
              </w:rPr>
            </w:pPr>
          </w:p>
        </w:tc>
        <w:tc>
          <w:tcPr>
            <w:tcW w:w="993" w:type="dxa"/>
          </w:tcPr>
          <w:p w14:paraId="4D982CA8">
            <w:pPr>
              <w:spacing w:line="440" w:lineRule="exact"/>
              <w:jc w:val="center"/>
              <w:rPr>
                <w:color w:val="auto"/>
                <w:szCs w:val="21"/>
                <w:highlight w:val="none"/>
              </w:rPr>
            </w:pPr>
          </w:p>
        </w:tc>
        <w:tc>
          <w:tcPr>
            <w:tcW w:w="958" w:type="dxa"/>
          </w:tcPr>
          <w:p w14:paraId="234F44EC">
            <w:pPr>
              <w:spacing w:line="440" w:lineRule="exact"/>
              <w:jc w:val="center"/>
              <w:rPr>
                <w:color w:val="auto"/>
                <w:szCs w:val="21"/>
                <w:highlight w:val="none"/>
              </w:rPr>
            </w:pPr>
          </w:p>
        </w:tc>
        <w:tc>
          <w:tcPr>
            <w:tcW w:w="709" w:type="dxa"/>
          </w:tcPr>
          <w:p w14:paraId="79C825F3">
            <w:pPr>
              <w:spacing w:line="440" w:lineRule="exact"/>
              <w:jc w:val="center"/>
              <w:rPr>
                <w:color w:val="auto"/>
                <w:szCs w:val="21"/>
                <w:highlight w:val="none"/>
              </w:rPr>
            </w:pPr>
          </w:p>
        </w:tc>
        <w:tc>
          <w:tcPr>
            <w:tcW w:w="850" w:type="dxa"/>
          </w:tcPr>
          <w:p w14:paraId="427F94AF">
            <w:pPr>
              <w:spacing w:line="440" w:lineRule="exact"/>
              <w:jc w:val="center"/>
              <w:rPr>
                <w:color w:val="auto"/>
                <w:szCs w:val="21"/>
                <w:highlight w:val="none"/>
              </w:rPr>
            </w:pPr>
          </w:p>
        </w:tc>
        <w:tc>
          <w:tcPr>
            <w:tcW w:w="709" w:type="dxa"/>
          </w:tcPr>
          <w:p w14:paraId="0E349DC9">
            <w:pPr>
              <w:spacing w:line="440" w:lineRule="exact"/>
              <w:jc w:val="center"/>
              <w:rPr>
                <w:color w:val="auto"/>
                <w:szCs w:val="21"/>
                <w:highlight w:val="none"/>
              </w:rPr>
            </w:pPr>
          </w:p>
        </w:tc>
        <w:tc>
          <w:tcPr>
            <w:tcW w:w="709" w:type="dxa"/>
          </w:tcPr>
          <w:p w14:paraId="3996EFB0">
            <w:pPr>
              <w:spacing w:line="440" w:lineRule="exact"/>
              <w:jc w:val="center"/>
              <w:rPr>
                <w:color w:val="auto"/>
                <w:szCs w:val="21"/>
                <w:highlight w:val="none"/>
              </w:rPr>
            </w:pPr>
          </w:p>
        </w:tc>
        <w:tc>
          <w:tcPr>
            <w:tcW w:w="709" w:type="dxa"/>
          </w:tcPr>
          <w:p w14:paraId="6392AE1B">
            <w:pPr>
              <w:spacing w:line="440" w:lineRule="exact"/>
              <w:jc w:val="center"/>
              <w:rPr>
                <w:color w:val="auto"/>
                <w:szCs w:val="21"/>
                <w:highlight w:val="none"/>
              </w:rPr>
            </w:pPr>
          </w:p>
        </w:tc>
        <w:tc>
          <w:tcPr>
            <w:tcW w:w="992" w:type="dxa"/>
          </w:tcPr>
          <w:p w14:paraId="5CCB605E">
            <w:pPr>
              <w:spacing w:line="440" w:lineRule="exact"/>
              <w:jc w:val="center"/>
              <w:rPr>
                <w:color w:val="auto"/>
                <w:szCs w:val="21"/>
                <w:highlight w:val="none"/>
              </w:rPr>
            </w:pPr>
          </w:p>
        </w:tc>
        <w:tc>
          <w:tcPr>
            <w:tcW w:w="1876" w:type="dxa"/>
          </w:tcPr>
          <w:p w14:paraId="61332412">
            <w:pPr>
              <w:spacing w:line="440" w:lineRule="exact"/>
              <w:jc w:val="center"/>
              <w:rPr>
                <w:color w:val="auto"/>
                <w:szCs w:val="21"/>
                <w:highlight w:val="none"/>
              </w:rPr>
            </w:pPr>
          </w:p>
        </w:tc>
      </w:tr>
      <w:tr w14:paraId="742BE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14:paraId="09F74157">
            <w:pPr>
              <w:spacing w:line="440" w:lineRule="exact"/>
              <w:jc w:val="center"/>
              <w:rPr>
                <w:color w:val="auto"/>
                <w:szCs w:val="21"/>
                <w:highlight w:val="none"/>
              </w:rPr>
            </w:pPr>
          </w:p>
        </w:tc>
        <w:tc>
          <w:tcPr>
            <w:tcW w:w="993" w:type="dxa"/>
          </w:tcPr>
          <w:p w14:paraId="1623C2AC">
            <w:pPr>
              <w:spacing w:line="440" w:lineRule="exact"/>
              <w:jc w:val="center"/>
              <w:rPr>
                <w:color w:val="auto"/>
                <w:szCs w:val="21"/>
                <w:highlight w:val="none"/>
              </w:rPr>
            </w:pPr>
          </w:p>
        </w:tc>
        <w:tc>
          <w:tcPr>
            <w:tcW w:w="958" w:type="dxa"/>
          </w:tcPr>
          <w:p w14:paraId="2F2B98E8">
            <w:pPr>
              <w:spacing w:line="440" w:lineRule="exact"/>
              <w:jc w:val="center"/>
              <w:rPr>
                <w:color w:val="auto"/>
                <w:szCs w:val="21"/>
                <w:highlight w:val="none"/>
              </w:rPr>
            </w:pPr>
          </w:p>
        </w:tc>
        <w:tc>
          <w:tcPr>
            <w:tcW w:w="709" w:type="dxa"/>
          </w:tcPr>
          <w:p w14:paraId="1AAFD90C">
            <w:pPr>
              <w:spacing w:line="440" w:lineRule="exact"/>
              <w:jc w:val="center"/>
              <w:rPr>
                <w:color w:val="auto"/>
                <w:szCs w:val="21"/>
                <w:highlight w:val="none"/>
              </w:rPr>
            </w:pPr>
          </w:p>
        </w:tc>
        <w:tc>
          <w:tcPr>
            <w:tcW w:w="850" w:type="dxa"/>
          </w:tcPr>
          <w:p w14:paraId="2696E6CE">
            <w:pPr>
              <w:spacing w:line="440" w:lineRule="exact"/>
              <w:jc w:val="center"/>
              <w:rPr>
                <w:color w:val="auto"/>
                <w:szCs w:val="21"/>
                <w:highlight w:val="none"/>
              </w:rPr>
            </w:pPr>
          </w:p>
        </w:tc>
        <w:tc>
          <w:tcPr>
            <w:tcW w:w="709" w:type="dxa"/>
          </w:tcPr>
          <w:p w14:paraId="739C186C">
            <w:pPr>
              <w:spacing w:line="440" w:lineRule="exact"/>
              <w:jc w:val="center"/>
              <w:rPr>
                <w:color w:val="auto"/>
                <w:szCs w:val="21"/>
                <w:highlight w:val="none"/>
              </w:rPr>
            </w:pPr>
          </w:p>
        </w:tc>
        <w:tc>
          <w:tcPr>
            <w:tcW w:w="709" w:type="dxa"/>
          </w:tcPr>
          <w:p w14:paraId="15A204DA">
            <w:pPr>
              <w:spacing w:line="440" w:lineRule="exact"/>
              <w:jc w:val="center"/>
              <w:rPr>
                <w:color w:val="auto"/>
                <w:szCs w:val="21"/>
                <w:highlight w:val="none"/>
              </w:rPr>
            </w:pPr>
          </w:p>
        </w:tc>
        <w:tc>
          <w:tcPr>
            <w:tcW w:w="709" w:type="dxa"/>
          </w:tcPr>
          <w:p w14:paraId="004656E1">
            <w:pPr>
              <w:spacing w:line="440" w:lineRule="exact"/>
              <w:jc w:val="center"/>
              <w:rPr>
                <w:color w:val="auto"/>
                <w:szCs w:val="21"/>
                <w:highlight w:val="none"/>
              </w:rPr>
            </w:pPr>
          </w:p>
        </w:tc>
        <w:tc>
          <w:tcPr>
            <w:tcW w:w="992" w:type="dxa"/>
          </w:tcPr>
          <w:p w14:paraId="512F3B26">
            <w:pPr>
              <w:spacing w:line="440" w:lineRule="exact"/>
              <w:jc w:val="center"/>
              <w:rPr>
                <w:color w:val="auto"/>
                <w:szCs w:val="21"/>
                <w:highlight w:val="none"/>
              </w:rPr>
            </w:pPr>
          </w:p>
        </w:tc>
        <w:tc>
          <w:tcPr>
            <w:tcW w:w="1876" w:type="dxa"/>
          </w:tcPr>
          <w:p w14:paraId="08162AEF">
            <w:pPr>
              <w:spacing w:line="440" w:lineRule="exact"/>
              <w:jc w:val="center"/>
              <w:rPr>
                <w:color w:val="auto"/>
                <w:szCs w:val="21"/>
                <w:highlight w:val="none"/>
              </w:rPr>
            </w:pPr>
          </w:p>
        </w:tc>
      </w:tr>
      <w:tr w14:paraId="48725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14:paraId="39437DC1">
            <w:pPr>
              <w:spacing w:line="440" w:lineRule="exact"/>
              <w:jc w:val="center"/>
              <w:rPr>
                <w:color w:val="auto"/>
                <w:szCs w:val="21"/>
                <w:highlight w:val="none"/>
              </w:rPr>
            </w:pPr>
            <w:r>
              <w:rPr>
                <w:color w:val="auto"/>
                <w:szCs w:val="21"/>
                <w:highlight w:val="none"/>
              </w:rPr>
              <w:t>……</w:t>
            </w:r>
          </w:p>
        </w:tc>
        <w:tc>
          <w:tcPr>
            <w:tcW w:w="993" w:type="dxa"/>
          </w:tcPr>
          <w:p w14:paraId="3E891EB5">
            <w:pPr>
              <w:spacing w:line="440" w:lineRule="exact"/>
              <w:jc w:val="center"/>
              <w:rPr>
                <w:color w:val="auto"/>
                <w:szCs w:val="21"/>
                <w:highlight w:val="none"/>
              </w:rPr>
            </w:pPr>
          </w:p>
        </w:tc>
        <w:tc>
          <w:tcPr>
            <w:tcW w:w="958" w:type="dxa"/>
          </w:tcPr>
          <w:p w14:paraId="536E6893">
            <w:pPr>
              <w:spacing w:line="440" w:lineRule="exact"/>
              <w:jc w:val="center"/>
              <w:rPr>
                <w:color w:val="auto"/>
                <w:szCs w:val="21"/>
                <w:highlight w:val="none"/>
              </w:rPr>
            </w:pPr>
          </w:p>
        </w:tc>
        <w:tc>
          <w:tcPr>
            <w:tcW w:w="709" w:type="dxa"/>
          </w:tcPr>
          <w:p w14:paraId="591BF622">
            <w:pPr>
              <w:spacing w:line="440" w:lineRule="exact"/>
              <w:jc w:val="center"/>
              <w:rPr>
                <w:color w:val="auto"/>
                <w:szCs w:val="21"/>
                <w:highlight w:val="none"/>
              </w:rPr>
            </w:pPr>
          </w:p>
        </w:tc>
        <w:tc>
          <w:tcPr>
            <w:tcW w:w="850" w:type="dxa"/>
          </w:tcPr>
          <w:p w14:paraId="6AC51919">
            <w:pPr>
              <w:spacing w:line="440" w:lineRule="exact"/>
              <w:jc w:val="center"/>
              <w:rPr>
                <w:color w:val="auto"/>
                <w:szCs w:val="21"/>
                <w:highlight w:val="none"/>
              </w:rPr>
            </w:pPr>
          </w:p>
        </w:tc>
        <w:tc>
          <w:tcPr>
            <w:tcW w:w="709" w:type="dxa"/>
          </w:tcPr>
          <w:p w14:paraId="6EA274D9">
            <w:pPr>
              <w:spacing w:line="440" w:lineRule="exact"/>
              <w:jc w:val="center"/>
              <w:rPr>
                <w:color w:val="auto"/>
                <w:szCs w:val="21"/>
                <w:highlight w:val="none"/>
              </w:rPr>
            </w:pPr>
          </w:p>
        </w:tc>
        <w:tc>
          <w:tcPr>
            <w:tcW w:w="709" w:type="dxa"/>
          </w:tcPr>
          <w:p w14:paraId="7E631DEA">
            <w:pPr>
              <w:spacing w:line="440" w:lineRule="exact"/>
              <w:jc w:val="center"/>
              <w:rPr>
                <w:color w:val="auto"/>
                <w:szCs w:val="21"/>
                <w:highlight w:val="none"/>
              </w:rPr>
            </w:pPr>
          </w:p>
        </w:tc>
        <w:tc>
          <w:tcPr>
            <w:tcW w:w="709" w:type="dxa"/>
          </w:tcPr>
          <w:p w14:paraId="691409FF">
            <w:pPr>
              <w:spacing w:line="440" w:lineRule="exact"/>
              <w:jc w:val="center"/>
              <w:rPr>
                <w:color w:val="auto"/>
                <w:szCs w:val="21"/>
                <w:highlight w:val="none"/>
              </w:rPr>
            </w:pPr>
          </w:p>
        </w:tc>
        <w:tc>
          <w:tcPr>
            <w:tcW w:w="992" w:type="dxa"/>
          </w:tcPr>
          <w:p w14:paraId="76D287BD">
            <w:pPr>
              <w:spacing w:line="440" w:lineRule="exact"/>
              <w:jc w:val="center"/>
              <w:rPr>
                <w:color w:val="auto"/>
                <w:szCs w:val="21"/>
                <w:highlight w:val="none"/>
              </w:rPr>
            </w:pPr>
          </w:p>
        </w:tc>
        <w:tc>
          <w:tcPr>
            <w:tcW w:w="1876" w:type="dxa"/>
          </w:tcPr>
          <w:p w14:paraId="34406CB7">
            <w:pPr>
              <w:spacing w:line="440" w:lineRule="exact"/>
              <w:jc w:val="center"/>
              <w:rPr>
                <w:color w:val="auto"/>
                <w:szCs w:val="21"/>
                <w:highlight w:val="none"/>
              </w:rPr>
            </w:pPr>
          </w:p>
        </w:tc>
      </w:tr>
      <w:tr w14:paraId="71B0D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14:paraId="29F419F4">
            <w:pPr>
              <w:spacing w:line="440" w:lineRule="exact"/>
              <w:jc w:val="center"/>
              <w:rPr>
                <w:color w:val="auto"/>
                <w:szCs w:val="21"/>
                <w:highlight w:val="none"/>
              </w:rPr>
            </w:pPr>
            <w:r>
              <w:rPr>
                <w:color w:val="auto"/>
                <w:szCs w:val="21"/>
                <w:highlight w:val="none"/>
              </w:rPr>
              <w:t>……</w:t>
            </w:r>
            <w:r>
              <w:rPr>
                <w:rFonts w:hint="eastAsia"/>
                <w:color w:val="auto"/>
                <w:szCs w:val="21"/>
                <w:highlight w:val="none"/>
              </w:rPr>
              <w:t>.</w:t>
            </w:r>
          </w:p>
        </w:tc>
        <w:tc>
          <w:tcPr>
            <w:tcW w:w="993" w:type="dxa"/>
          </w:tcPr>
          <w:p w14:paraId="21CFA861">
            <w:pPr>
              <w:spacing w:line="440" w:lineRule="exact"/>
              <w:jc w:val="center"/>
              <w:rPr>
                <w:color w:val="auto"/>
                <w:szCs w:val="21"/>
                <w:highlight w:val="none"/>
              </w:rPr>
            </w:pPr>
          </w:p>
        </w:tc>
        <w:tc>
          <w:tcPr>
            <w:tcW w:w="958" w:type="dxa"/>
          </w:tcPr>
          <w:p w14:paraId="2A8ECA16">
            <w:pPr>
              <w:spacing w:line="440" w:lineRule="exact"/>
              <w:jc w:val="center"/>
              <w:rPr>
                <w:color w:val="auto"/>
                <w:szCs w:val="21"/>
                <w:highlight w:val="none"/>
              </w:rPr>
            </w:pPr>
          </w:p>
        </w:tc>
        <w:tc>
          <w:tcPr>
            <w:tcW w:w="709" w:type="dxa"/>
          </w:tcPr>
          <w:p w14:paraId="5C0CD852">
            <w:pPr>
              <w:spacing w:line="440" w:lineRule="exact"/>
              <w:jc w:val="center"/>
              <w:rPr>
                <w:color w:val="auto"/>
                <w:szCs w:val="21"/>
                <w:highlight w:val="none"/>
              </w:rPr>
            </w:pPr>
          </w:p>
        </w:tc>
        <w:tc>
          <w:tcPr>
            <w:tcW w:w="850" w:type="dxa"/>
          </w:tcPr>
          <w:p w14:paraId="0EB741CA">
            <w:pPr>
              <w:spacing w:line="440" w:lineRule="exact"/>
              <w:jc w:val="center"/>
              <w:rPr>
                <w:color w:val="auto"/>
                <w:szCs w:val="21"/>
                <w:highlight w:val="none"/>
              </w:rPr>
            </w:pPr>
          </w:p>
        </w:tc>
        <w:tc>
          <w:tcPr>
            <w:tcW w:w="709" w:type="dxa"/>
          </w:tcPr>
          <w:p w14:paraId="7C0647D9">
            <w:pPr>
              <w:spacing w:line="440" w:lineRule="exact"/>
              <w:jc w:val="center"/>
              <w:rPr>
                <w:color w:val="auto"/>
                <w:szCs w:val="21"/>
                <w:highlight w:val="none"/>
              </w:rPr>
            </w:pPr>
          </w:p>
        </w:tc>
        <w:tc>
          <w:tcPr>
            <w:tcW w:w="709" w:type="dxa"/>
          </w:tcPr>
          <w:p w14:paraId="29507E0E">
            <w:pPr>
              <w:spacing w:line="440" w:lineRule="exact"/>
              <w:jc w:val="center"/>
              <w:rPr>
                <w:color w:val="auto"/>
                <w:szCs w:val="21"/>
                <w:highlight w:val="none"/>
              </w:rPr>
            </w:pPr>
          </w:p>
        </w:tc>
        <w:tc>
          <w:tcPr>
            <w:tcW w:w="709" w:type="dxa"/>
          </w:tcPr>
          <w:p w14:paraId="22C20A8A">
            <w:pPr>
              <w:spacing w:line="440" w:lineRule="exact"/>
              <w:jc w:val="center"/>
              <w:rPr>
                <w:color w:val="auto"/>
                <w:szCs w:val="21"/>
                <w:highlight w:val="none"/>
              </w:rPr>
            </w:pPr>
          </w:p>
        </w:tc>
        <w:tc>
          <w:tcPr>
            <w:tcW w:w="992" w:type="dxa"/>
          </w:tcPr>
          <w:p w14:paraId="767ACD60">
            <w:pPr>
              <w:spacing w:line="440" w:lineRule="exact"/>
              <w:jc w:val="center"/>
              <w:rPr>
                <w:color w:val="auto"/>
                <w:szCs w:val="21"/>
                <w:highlight w:val="none"/>
              </w:rPr>
            </w:pPr>
          </w:p>
        </w:tc>
        <w:tc>
          <w:tcPr>
            <w:tcW w:w="1876" w:type="dxa"/>
          </w:tcPr>
          <w:p w14:paraId="479504F5">
            <w:pPr>
              <w:spacing w:line="440" w:lineRule="exact"/>
              <w:jc w:val="center"/>
              <w:rPr>
                <w:color w:val="auto"/>
                <w:szCs w:val="21"/>
                <w:highlight w:val="none"/>
              </w:rPr>
            </w:pPr>
          </w:p>
        </w:tc>
      </w:tr>
      <w:tr w14:paraId="3E645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14:paraId="2102E1BC">
            <w:pPr>
              <w:spacing w:line="440" w:lineRule="exact"/>
              <w:jc w:val="center"/>
              <w:rPr>
                <w:color w:val="auto"/>
                <w:szCs w:val="21"/>
                <w:highlight w:val="none"/>
              </w:rPr>
            </w:pPr>
            <w:r>
              <w:rPr>
                <w:color w:val="auto"/>
                <w:szCs w:val="21"/>
                <w:highlight w:val="none"/>
              </w:rPr>
              <w:t>……</w:t>
            </w:r>
            <w:r>
              <w:rPr>
                <w:rFonts w:hint="eastAsia"/>
                <w:color w:val="auto"/>
                <w:szCs w:val="21"/>
                <w:highlight w:val="none"/>
              </w:rPr>
              <w:t>.</w:t>
            </w:r>
          </w:p>
        </w:tc>
        <w:tc>
          <w:tcPr>
            <w:tcW w:w="993" w:type="dxa"/>
          </w:tcPr>
          <w:p w14:paraId="22A34A16">
            <w:pPr>
              <w:spacing w:line="440" w:lineRule="exact"/>
              <w:jc w:val="center"/>
              <w:rPr>
                <w:color w:val="auto"/>
                <w:szCs w:val="21"/>
                <w:highlight w:val="none"/>
              </w:rPr>
            </w:pPr>
          </w:p>
        </w:tc>
        <w:tc>
          <w:tcPr>
            <w:tcW w:w="958" w:type="dxa"/>
          </w:tcPr>
          <w:p w14:paraId="2702175A">
            <w:pPr>
              <w:spacing w:line="440" w:lineRule="exact"/>
              <w:jc w:val="center"/>
              <w:rPr>
                <w:color w:val="auto"/>
                <w:szCs w:val="21"/>
                <w:highlight w:val="none"/>
              </w:rPr>
            </w:pPr>
          </w:p>
        </w:tc>
        <w:tc>
          <w:tcPr>
            <w:tcW w:w="709" w:type="dxa"/>
          </w:tcPr>
          <w:p w14:paraId="4FD3319D">
            <w:pPr>
              <w:spacing w:line="440" w:lineRule="exact"/>
              <w:jc w:val="center"/>
              <w:rPr>
                <w:color w:val="auto"/>
                <w:szCs w:val="21"/>
                <w:highlight w:val="none"/>
              </w:rPr>
            </w:pPr>
          </w:p>
        </w:tc>
        <w:tc>
          <w:tcPr>
            <w:tcW w:w="850" w:type="dxa"/>
          </w:tcPr>
          <w:p w14:paraId="3E253F4A">
            <w:pPr>
              <w:spacing w:line="440" w:lineRule="exact"/>
              <w:jc w:val="center"/>
              <w:rPr>
                <w:color w:val="auto"/>
                <w:szCs w:val="21"/>
                <w:highlight w:val="none"/>
              </w:rPr>
            </w:pPr>
          </w:p>
        </w:tc>
        <w:tc>
          <w:tcPr>
            <w:tcW w:w="709" w:type="dxa"/>
          </w:tcPr>
          <w:p w14:paraId="3B7EF0CA">
            <w:pPr>
              <w:spacing w:line="440" w:lineRule="exact"/>
              <w:jc w:val="center"/>
              <w:rPr>
                <w:color w:val="auto"/>
                <w:szCs w:val="21"/>
                <w:highlight w:val="none"/>
              </w:rPr>
            </w:pPr>
          </w:p>
        </w:tc>
        <w:tc>
          <w:tcPr>
            <w:tcW w:w="709" w:type="dxa"/>
          </w:tcPr>
          <w:p w14:paraId="2C27456B">
            <w:pPr>
              <w:spacing w:line="440" w:lineRule="exact"/>
              <w:jc w:val="center"/>
              <w:rPr>
                <w:color w:val="auto"/>
                <w:szCs w:val="21"/>
                <w:highlight w:val="none"/>
              </w:rPr>
            </w:pPr>
          </w:p>
        </w:tc>
        <w:tc>
          <w:tcPr>
            <w:tcW w:w="709" w:type="dxa"/>
          </w:tcPr>
          <w:p w14:paraId="12D08BA0">
            <w:pPr>
              <w:spacing w:line="440" w:lineRule="exact"/>
              <w:jc w:val="center"/>
              <w:rPr>
                <w:color w:val="auto"/>
                <w:szCs w:val="21"/>
                <w:highlight w:val="none"/>
              </w:rPr>
            </w:pPr>
          </w:p>
        </w:tc>
        <w:tc>
          <w:tcPr>
            <w:tcW w:w="992" w:type="dxa"/>
          </w:tcPr>
          <w:p w14:paraId="5391A0CD">
            <w:pPr>
              <w:spacing w:line="440" w:lineRule="exact"/>
              <w:jc w:val="center"/>
              <w:rPr>
                <w:color w:val="auto"/>
                <w:szCs w:val="21"/>
                <w:highlight w:val="none"/>
              </w:rPr>
            </w:pPr>
          </w:p>
        </w:tc>
        <w:tc>
          <w:tcPr>
            <w:tcW w:w="1876" w:type="dxa"/>
          </w:tcPr>
          <w:p w14:paraId="543606AC">
            <w:pPr>
              <w:spacing w:line="440" w:lineRule="exact"/>
              <w:jc w:val="center"/>
              <w:rPr>
                <w:color w:val="auto"/>
                <w:szCs w:val="21"/>
                <w:highlight w:val="none"/>
              </w:rPr>
            </w:pPr>
          </w:p>
        </w:tc>
      </w:tr>
      <w:tr w14:paraId="190BB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14:paraId="0E1EF536">
            <w:pPr>
              <w:spacing w:line="440" w:lineRule="exact"/>
              <w:jc w:val="center"/>
              <w:rPr>
                <w:color w:val="auto"/>
                <w:szCs w:val="21"/>
                <w:highlight w:val="none"/>
              </w:rPr>
            </w:pPr>
          </w:p>
        </w:tc>
        <w:tc>
          <w:tcPr>
            <w:tcW w:w="993" w:type="dxa"/>
          </w:tcPr>
          <w:p w14:paraId="14ABB571">
            <w:pPr>
              <w:spacing w:line="440" w:lineRule="exact"/>
              <w:jc w:val="center"/>
              <w:rPr>
                <w:color w:val="auto"/>
                <w:szCs w:val="21"/>
                <w:highlight w:val="none"/>
              </w:rPr>
            </w:pPr>
          </w:p>
        </w:tc>
        <w:tc>
          <w:tcPr>
            <w:tcW w:w="958" w:type="dxa"/>
          </w:tcPr>
          <w:p w14:paraId="4CAE2D5E">
            <w:pPr>
              <w:spacing w:line="440" w:lineRule="exact"/>
              <w:jc w:val="center"/>
              <w:rPr>
                <w:color w:val="auto"/>
                <w:szCs w:val="21"/>
                <w:highlight w:val="none"/>
              </w:rPr>
            </w:pPr>
          </w:p>
        </w:tc>
        <w:tc>
          <w:tcPr>
            <w:tcW w:w="709" w:type="dxa"/>
          </w:tcPr>
          <w:p w14:paraId="53EC29F6">
            <w:pPr>
              <w:spacing w:line="440" w:lineRule="exact"/>
              <w:jc w:val="center"/>
              <w:rPr>
                <w:color w:val="auto"/>
                <w:szCs w:val="21"/>
                <w:highlight w:val="none"/>
              </w:rPr>
            </w:pPr>
          </w:p>
        </w:tc>
        <w:tc>
          <w:tcPr>
            <w:tcW w:w="850" w:type="dxa"/>
          </w:tcPr>
          <w:p w14:paraId="23ABC3B4">
            <w:pPr>
              <w:spacing w:line="440" w:lineRule="exact"/>
              <w:jc w:val="center"/>
              <w:rPr>
                <w:color w:val="auto"/>
                <w:szCs w:val="21"/>
                <w:highlight w:val="none"/>
              </w:rPr>
            </w:pPr>
          </w:p>
        </w:tc>
        <w:tc>
          <w:tcPr>
            <w:tcW w:w="709" w:type="dxa"/>
          </w:tcPr>
          <w:p w14:paraId="28D4C130">
            <w:pPr>
              <w:spacing w:line="440" w:lineRule="exact"/>
              <w:jc w:val="center"/>
              <w:rPr>
                <w:color w:val="auto"/>
                <w:szCs w:val="21"/>
                <w:highlight w:val="none"/>
              </w:rPr>
            </w:pPr>
          </w:p>
        </w:tc>
        <w:tc>
          <w:tcPr>
            <w:tcW w:w="709" w:type="dxa"/>
          </w:tcPr>
          <w:p w14:paraId="18AA3059">
            <w:pPr>
              <w:spacing w:line="440" w:lineRule="exact"/>
              <w:jc w:val="center"/>
              <w:rPr>
                <w:color w:val="auto"/>
                <w:szCs w:val="21"/>
                <w:highlight w:val="none"/>
              </w:rPr>
            </w:pPr>
          </w:p>
        </w:tc>
        <w:tc>
          <w:tcPr>
            <w:tcW w:w="709" w:type="dxa"/>
          </w:tcPr>
          <w:p w14:paraId="2E0ACD15">
            <w:pPr>
              <w:spacing w:line="440" w:lineRule="exact"/>
              <w:jc w:val="center"/>
              <w:rPr>
                <w:color w:val="auto"/>
                <w:szCs w:val="21"/>
                <w:highlight w:val="none"/>
              </w:rPr>
            </w:pPr>
          </w:p>
        </w:tc>
        <w:tc>
          <w:tcPr>
            <w:tcW w:w="992" w:type="dxa"/>
          </w:tcPr>
          <w:p w14:paraId="0A4B89C4">
            <w:pPr>
              <w:spacing w:line="440" w:lineRule="exact"/>
              <w:jc w:val="center"/>
              <w:rPr>
                <w:color w:val="auto"/>
                <w:szCs w:val="21"/>
                <w:highlight w:val="none"/>
              </w:rPr>
            </w:pPr>
          </w:p>
        </w:tc>
        <w:tc>
          <w:tcPr>
            <w:tcW w:w="1876" w:type="dxa"/>
          </w:tcPr>
          <w:p w14:paraId="4E07CB7A">
            <w:pPr>
              <w:spacing w:line="440" w:lineRule="exact"/>
              <w:jc w:val="center"/>
              <w:rPr>
                <w:color w:val="auto"/>
                <w:szCs w:val="21"/>
                <w:highlight w:val="none"/>
              </w:rPr>
            </w:pPr>
          </w:p>
        </w:tc>
      </w:tr>
      <w:tr w14:paraId="1FC19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14:paraId="545039D0">
            <w:pPr>
              <w:spacing w:line="440" w:lineRule="exact"/>
              <w:jc w:val="center"/>
              <w:rPr>
                <w:color w:val="auto"/>
                <w:szCs w:val="21"/>
                <w:highlight w:val="none"/>
              </w:rPr>
            </w:pPr>
          </w:p>
        </w:tc>
        <w:tc>
          <w:tcPr>
            <w:tcW w:w="993" w:type="dxa"/>
          </w:tcPr>
          <w:p w14:paraId="280AE4BD">
            <w:pPr>
              <w:spacing w:line="440" w:lineRule="exact"/>
              <w:jc w:val="center"/>
              <w:rPr>
                <w:color w:val="auto"/>
                <w:szCs w:val="21"/>
                <w:highlight w:val="none"/>
              </w:rPr>
            </w:pPr>
          </w:p>
        </w:tc>
        <w:tc>
          <w:tcPr>
            <w:tcW w:w="958" w:type="dxa"/>
          </w:tcPr>
          <w:p w14:paraId="25E3AA24">
            <w:pPr>
              <w:spacing w:line="440" w:lineRule="exact"/>
              <w:jc w:val="center"/>
              <w:rPr>
                <w:color w:val="auto"/>
                <w:szCs w:val="21"/>
                <w:highlight w:val="none"/>
              </w:rPr>
            </w:pPr>
          </w:p>
        </w:tc>
        <w:tc>
          <w:tcPr>
            <w:tcW w:w="709" w:type="dxa"/>
          </w:tcPr>
          <w:p w14:paraId="5C9C2225">
            <w:pPr>
              <w:spacing w:line="440" w:lineRule="exact"/>
              <w:jc w:val="center"/>
              <w:rPr>
                <w:color w:val="auto"/>
                <w:szCs w:val="21"/>
                <w:highlight w:val="none"/>
              </w:rPr>
            </w:pPr>
          </w:p>
        </w:tc>
        <w:tc>
          <w:tcPr>
            <w:tcW w:w="850" w:type="dxa"/>
          </w:tcPr>
          <w:p w14:paraId="4990AF8C">
            <w:pPr>
              <w:spacing w:line="440" w:lineRule="exact"/>
              <w:jc w:val="center"/>
              <w:rPr>
                <w:color w:val="auto"/>
                <w:szCs w:val="21"/>
                <w:highlight w:val="none"/>
              </w:rPr>
            </w:pPr>
          </w:p>
        </w:tc>
        <w:tc>
          <w:tcPr>
            <w:tcW w:w="709" w:type="dxa"/>
          </w:tcPr>
          <w:p w14:paraId="44DD2200">
            <w:pPr>
              <w:spacing w:line="440" w:lineRule="exact"/>
              <w:jc w:val="center"/>
              <w:rPr>
                <w:color w:val="auto"/>
                <w:szCs w:val="21"/>
                <w:highlight w:val="none"/>
              </w:rPr>
            </w:pPr>
          </w:p>
        </w:tc>
        <w:tc>
          <w:tcPr>
            <w:tcW w:w="709" w:type="dxa"/>
          </w:tcPr>
          <w:p w14:paraId="7782153C">
            <w:pPr>
              <w:spacing w:line="440" w:lineRule="exact"/>
              <w:jc w:val="center"/>
              <w:rPr>
                <w:color w:val="auto"/>
                <w:szCs w:val="21"/>
                <w:highlight w:val="none"/>
              </w:rPr>
            </w:pPr>
          </w:p>
        </w:tc>
        <w:tc>
          <w:tcPr>
            <w:tcW w:w="709" w:type="dxa"/>
          </w:tcPr>
          <w:p w14:paraId="4BB55D4F">
            <w:pPr>
              <w:spacing w:line="440" w:lineRule="exact"/>
              <w:jc w:val="center"/>
              <w:rPr>
                <w:color w:val="auto"/>
                <w:szCs w:val="21"/>
                <w:highlight w:val="none"/>
              </w:rPr>
            </w:pPr>
          </w:p>
        </w:tc>
        <w:tc>
          <w:tcPr>
            <w:tcW w:w="992" w:type="dxa"/>
          </w:tcPr>
          <w:p w14:paraId="343BB756">
            <w:pPr>
              <w:spacing w:line="440" w:lineRule="exact"/>
              <w:jc w:val="center"/>
              <w:rPr>
                <w:color w:val="auto"/>
                <w:szCs w:val="21"/>
                <w:highlight w:val="none"/>
              </w:rPr>
            </w:pPr>
          </w:p>
        </w:tc>
        <w:tc>
          <w:tcPr>
            <w:tcW w:w="1876" w:type="dxa"/>
          </w:tcPr>
          <w:p w14:paraId="4E6A299D">
            <w:pPr>
              <w:spacing w:line="440" w:lineRule="exact"/>
              <w:jc w:val="center"/>
              <w:rPr>
                <w:color w:val="auto"/>
                <w:szCs w:val="21"/>
                <w:highlight w:val="none"/>
              </w:rPr>
            </w:pPr>
          </w:p>
        </w:tc>
      </w:tr>
      <w:tr w14:paraId="2E46D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2C613292">
            <w:pPr>
              <w:spacing w:line="440" w:lineRule="exact"/>
              <w:jc w:val="center"/>
              <w:rPr>
                <w:color w:val="auto"/>
                <w:szCs w:val="21"/>
                <w:highlight w:val="none"/>
              </w:rPr>
            </w:pPr>
          </w:p>
        </w:tc>
        <w:tc>
          <w:tcPr>
            <w:tcW w:w="993" w:type="dxa"/>
            <w:tcBorders>
              <w:top w:val="single" w:color="auto" w:sz="4" w:space="0"/>
              <w:left w:val="single" w:color="auto" w:sz="4" w:space="0"/>
              <w:bottom w:val="single" w:color="auto" w:sz="4" w:space="0"/>
              <w:right w:val="single" w:color="auto" w:sz="4" w:space="0"/>
            </w:tcBorders>
          </w:tcPr>
          <w:p w14:paraId="17531653">
            <w:pPr>
              <w:spacing w:line="440" w:lineRule="exact"/>
              <w:jc w:val="center"/>
              <w:rPr>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14:paraId="10ADBB8A">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61D22662">
            <w:pPr>
              <w:spacing w:line="440" w:lineRule="exact"/>
              <w:jc w:val="center"/>
              <w:rPr>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tcPr>
          <w:p w14:paraId="19C33C3F">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298DABA7">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4F3BFA17">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1B3FAB7B">
            <w:pPr>
              <w:spacing w:line="440" w:lineRule="exact"/>
              <w:jc w:val="center"/>
              <w:rPr>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tcPr>
          <w:p w14:paraId="766B18AB">
            <w:pPr>
              <w:spacing w:line="440" w:lineRule="exact"/>
              <w:jc w:val="center"/>
              <w:rPr>
                <w:color w:val="auto"/>
                <w:szCs w:val="21"/>
                <w:highlight w:val="none"/>
              </w:rPr>
            </w:pPr>
          </w:p>
        </w:tc>
        <w:tc>
          <w:tcPr>
            <w:tcW w:w="1876" w:type="dxa"/>
            <w:tcBorders>
              <w:top w:val="single" w:color="auto" w:sz="4" w:space="0"/>
              <w:left w:val="single" w:color="auto" w:sz="4" w:space="0"/>
              <w:bottom w:val="single" w:color="auto" w:sz="4" w:space="0"/>
              <w:right w:val="single" w:color="auto" w:sz="4" w:space="0"/>
            </w:tcBorders>
          </w:tcPr>
          <w:p w14:paraId="1B2339A1">
            <w:pPr>
              <w:spacing w:line="440" w:lineRule="exact"/>
              <w:jc w:val="center"/>
              <w:rPr>
                <w:color w:val="auto"/>
                <w:szCs w:val="21"/>
                <w:highlight w:val="none"/>
              </w:rPr>
            </w:pPr>
          </w:p>
        </w:tc>
      </w:tr>
      <w:tr w14:paraId="77CF0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416AE004">
            <w:pPr>
              <w:spacing w:line="440" w:lineRule="exact"/>
              <w:jc w:val="center"/>
              <w:rPr>
                <w:color w:val="auto"/>
                <w:szCs w:val="21"/>
                <w:highlight w:val="none"/>
              </w:rPr>
            </w:pPr>
          </w:p>
        </w:tc>
        <w:tc>
          <w:tcPr>
            <w:tcW w:w="993" w:type="dxa"/>
            <w:tcBorders>
              <w:top w:val="single" w:color="auto" w:sz="4" w:space="0"/>
              <w:left w:val="single" w:color="auto" w:sz="4" w:space="0"/>
              <w:bottom w:val="single" w:color="auto" w:sz="4" w:space="0"/>
              <w:right w:val="single" w:color="auto" w:sz="4" w:space="0"/>
            </w:tcBorders>
          </w:tcPr>
          <w:p w14:paraId="5BAAAAB9">
            <w:pPr>
              <w:spacing w:line="440" w:lineRule="exact"/>
              <w:jc w:val="center"/>
              <w:rPr>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14:paraId="304CDDD1">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25244225">
            <w:pPr>
              <w:spacing w:line="440" w:lineRule="exact"/>
              <w:jc w:val="center"/>
              <w:rPr>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tcPr>
          <w:p w14:paraId="28D9CD7A">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7E45CEA8">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107942BF">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41B7569D">
            <w:pPr>
              <w:spacing w:line="440" w:lineRule="exact"/>
              <w:jc w:val="center"/>
              <w:rPr>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tcPr>
          <w:p w14:paraId="68B4EB6E">
            <w:pPr>
              <w:spacing w:line="440" w:lineRule="exact"/>
              <w:jc w:val="center"/>
              <w:rPr>
                <w:color w:val="auto"/>
                <w:szCs w:val="21"/>
                <w:highlight w:val="none"/>
              </w:rPr>
            </w:pPr>
          </w:p>
        </w:tc>
        <w:tc>
          <w:tcPr>
            <w:tcW w:w="1876" w:type="dxa"/>
            <w:tcBorders>
              <w:top w:val="single" w:color="auto" w:sz="4" w:space="0"/>
              <w:left w:val="single" w:color="auto" w:sz="4" w:space="0"/>
              <w:bottom w:val="single" w:color="auto" w:sz="4" w:space="0"/>
              <w:right w:val="single" w:color="auto" w:sz="4" w:space="0"/>
            </w:tcBorders>
          </w:tcPr>
          <w:p w14:paraId="354B36B1">
            <w:pPr>
              <w:spacing w:line="440" w:lineRule="exact"/>
              <w:jc w:val="center"/>
              <w:rPr>
                <w:color w:val="auto"/>
                <w:szCs w:val="21"/>
                <w:highlight w:val="none"/>
              </w:rPr>
            </w:pPr>
          </w:p>
        </w:tc>
      </w:tr>
      <w:tr w14:paraId="56E0A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1D22CB4F">
            <w:pPr>
              <w:spacing w:line="440" w:lineRule="exact"/>
              <w:jc w:val="center"/>
              <w:rPr>
                <w:color w:val="auto"/>
                <w:szCs w:val="21"/>
                <w:highlight w:val="none"/>
              </w:rPr>
            </w:pPr>
          </w:p>
        </w:tc>
        <w:tc>
          <w:tcPr>
            <w:tcW w:w="993" w:type="dxa"/>
            <w:tcBorders>
              <w:top w:val="single" w:color="auto" w:sz="4" w:space="0"/>
              <w:left w:val="single" w:color="auto" w:sz="4" w:space="0"/>
              <w:bottom w:val="single" w:color="auto" w:sz="4" w:space="0"/>
              <w:right w:val="single" w:color="auto" w:sz="4" w:space="0"/>
            </w:tcBorders>
          </w:tcPr>
          <w:p w14:paraId="320618F0">
            <w:pPr>
              <w:spacing w:line="440" w:lineRule="exact"/>
              <w:jc w:val="center"/>
              <w:rPr>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14:paraId="172F1890">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014ABF67">
            <w:pPr>
              <w:spacing w:line="440" w:lineRule="exact"/>
              <w:jc w:val="center"/>
              <w:rPr>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tcPr>
          <w:p w14:paraId="519CFEFF">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71B554ED">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2F076BD2">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3DDBB438">
            <w:pPr>
              <w:spacing w:line="440" w:lineRule="exact"/>
              <w:jc w:val="center"/>
              <w:rPr>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tcPr>
          <w:p w14:paraId="499888F6">
            <w:pPr>
              <w:spacing w:line="440" w:lineRule="exact"/>
              <w:jc w:val="center"/>
              <w:rPr>
                <w:color w:val="auto"/>
                <w:szCs w:val="21"/>
                <w:highlight w:val="none"/>
              </w:rPr>
            </w:pPr>
          </w:p>
        </w:tc>
        <w:tc>
          <w:tcPr>
            <w:tcW w:w="1876" w:type="dxa"/>
            <w:tcBorders>
              <w:top w:val="single" w:color="auto" w:sz="4" w:space="0"/>
              <w:left w:val="single" w:color="auto" w:sz="4" w:space="0"/>
              <w:bottom w:val="single" w:color="auto" w:sz="4" w:space="0"/>
              <w:right w:val="single" w:color="auto" w:sz="4" w:space="0"/>
            </w:tcBorders>
          </w:tcPr>
          <w:p w14:paraId="135919F6">
            <w:pPr>
              <w:spacing w:line="440" w:lineRule="exact"/>
              <w:jc w:val="center"/>
              <w:rPr>
                <w:color w:val="auto"/>
                <w:szCs w:val="21"/>
                <w:highlight w:val="none"/>
              </w:rPr>
            </w:pPr>
          </w:p>
        </w:tc>
      </w:tr>
      <w:tr w14:paraId="07D54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37872F0E">
            <w:pPr>
              <w:spacing w:line="440" w:lineRule="exact"/>
              <w:jc w:val="center"/>
              <w:rPr>
                <w:color w:val="auto"/>
                <w:szCs w:val="21"/>
                <w:highlight w:val="none"/>
              </w:rPr>
            </w:pPr>
          </w:p>
        </w:tc>
        <w:tc>
          <w:tcPr>
            <w:tcW w:w="993" w:type="dxa"/>
            <w:tcBorders>
              <w:top w:val="single" w:color="auto" w:sz="4" w:space="0"/>
              <w:left w:val="single" w:color="auto" w:sz="4" w:space="0"/>
              <w:bottom w:val="single" w:color="auto" w:sz="4" w:space="0"/>
              <w:right w:val="single" w:color="auto" w:sz="4" w:space="0"/>
            </w:tcBorders>
          </w:tcPr>
          <w:p w14:paraId="68643F0B">
            <w:pPr>
              <w:spacing w:line="440" w:lineRule="exact"/>
              <w:jc w:val="center"/>
              <w:rPr>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14:paraId="2CE4928A">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528418DE">
            <w:pPr>
              <w:spacing w:line="440" w:lineRule="exact"/>
              <w:jc w:val="center"/>
              <w:rPr>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tcPr>
          <w:p w14:paraId="3638FFC0">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2A9C6D51">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5B11797F">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1DD43A3B">
            <w:pPr>
              <w:spacing w:line="440" w:lineRule="exact"/>
              <w:jc w:val="center"/>
              <w:rPr>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tcPr>
          <w:p w14:paraId="2FA83393">
            <w:pPr>
              <w:spacing w:line="440" w:lineRule="exact"/>
              <w:jc w:val="center"/>
              <w:rPr>
                <w:color w:val="auto"/>
                <w:szCs w:val="21"/>
                <w:highlight w:val="none"/>
              </w:rPr>
            </w:pPr>
          </w:p>
        </w:tc>
        <w:tc>
          <w:tcPr>
            <w:tcW w:w="1876" w:type="dxa"/>
            <w:tcBorders>
              <w:top w:val="single" w:color="auto" w:sz="4" w:space="0"/>
              <w:left w:val="single" w:color="auto" w:sz="4" w:space="0"/>
              <w:bottom w:val="single" w:color="auto" w:sz="4" w:space="0"/>
              <w:right w:val="single" w:color="auto" w:sz="4" w:space="0"/>
            </w:tcBorders>
          </w:tcPr>
          <w:p w14:paraId="582E866E">
            <w:pPr>
              <w:spacing w:line="440" w:lineRule="exact"/>
              <w:jc w:val="center"/>
              <w:rPr>
                <w:color w:val="auto"/>
                <w:szCs w:val="21"/>
                <w:highlight w:val="none"/>
              </w:rPr>
            </w:pPr>
          </w:p>
        </w:tc>
      </w:tr>
      <w:tr w14:paraId="18138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21F31A36">
            <w:pPr>
              <w:spacing w:line="440" w:lineRule="exact"/>
              <w:jc w:val="center"/>
              <w:rPr>
                <w:color w:val="auto"/>
                <w:szCs w:val="21"/>
                <w:highlight w:val="none"/>
              </w:rPr>
            </w:pPr>
          </w:p>
        </w:tc>
        <w:tc>
          <w:tcPr>
            <w:tcW w:w="993" w:type="dxa"/>
            <w:tcBorders>
              <w:top w:val="single" w:color="auto" w:sz="4" w:space="0"/>
              <w:left w:val="single" w:color="auto" w:sz="4" w:space="0"/>
              <w:bottom w:val="single" w:color="auto" w:sz="4" w:space="0"/>
              <w:right w:val="single" w:color="auto" w:sz="4" w:space="0"/>
            </w:tcBorders>
          </w:tcPr>
          <w:p w14:paraId="0837F024">
            <w:pPr>
              <w:spacing w:line="440" w:lineRule="exact"/>
              <w:jc w:val="center"/>
              <w:rPr>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14:paraId="558E7DC4">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3016C60F">
            <w:pPr>
              <w:spacing w:line="440" w:lineRule="exact"/>
              <w:jc w:val="center"/>
              <w:rPr>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tcPr>
          <w:p w14:paraId="5DB69D62">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40278AE7">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75ACD90A">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5A2A247F">
            <w:pPr>
              <w:spacing w:line="440" w:lineRule="exact"/>
              <w:jc w:val="center"/>
              <w:rPr>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tcPr>
          <w:p w14:paraId="38F5E4E9">
            <w:pPr>
              <w:spacing w:line="440" w:lineRule="exact"/>
              <w:jc w:val="center"/>
              <w:rPr>
                <w:color w:val="auto"/>
                <w:szCs w:val="21"/>
                <w:highlight w:val="none"/>
              </w:rPr>
            </w:pPr>
          </w:p>
        </w:tc>
        <w:tc>
          <w:tcPr>
            <w:tcW w:w="1876" w:type="dxa"/>
            <w:tcBorders>
              <w:top w:val="single" w:color="auto" w:sz="4" w:space="0"/>
              <w:left w:val="single" w:color="auto" w:sz="4" w:space="0"/>
              <w:bottom w:val="single" w:color="auto" w:sz="4" w:space="0"/>
              <w:right w:val="single" w:color="auto" w:sz="4" w:space="0"/>
            </w:tcBorders>
          </w:tcPr>
          <w:p w14:paraId="716E0A67">
            <w:pPr>
              <w:spacing w:line="440" w:lineRule="exact"/>
              <w:jc w:val="center"/>
              <w:rPr>
                <w:color w:val="auto"/>
                <w:szCs w:val="21"/>
                <w:highlight w:val="none"/>
              </w:rPr>
            </w:pPr>
          </w:p>
        </w:tc>
      </w:tr>
      <w:tr w14:paraId="4C1E9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5EE32685">
            <w:pPr>
              <w:spacing w:line="440" w:lineRule="exact"/>
              <w:jc w:val="center"/>
              <w:rPr>
                <w:color w:val="auto"/>
                <w:szCs w:val="21"/>
                <w:highlight w:val="none"/>
              </w:rPr>
            </w:pPr>
          </w:p>
        </w:tc>
        <w:tc>
          <w:tcPr>
            <w:tcW w:w="993" w:type="dxa"/>
            <w:tcBorders>
              <w:top w:val="single" w:color="auto" w:sz="4" w:space="0"/>
              <w:left w:val="single" w:color="auto" w:sz="4" w:space="0"/>
              <w:bottom w:val="single" w:color="auto" w:sz="4" w:space="0"/>
              <w:right w:val="single" w:color="auto" w:sz="4" w:space="0"/>
            </w:tcBorders>
          </w:tcPr>
          <w:p w14:paraId="2823AD36">
            <w:pPr>
              <w:spacing w:line="440" w:lineRule="exact"/>
              <w:jc w:val="center"/>
              <w:rPr>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14:paraId="1810814A">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4E66451B">
            <w:pPr>
              <w:spacing w:line="440" w:lineRule="exact"/>
              <w:jc w:val="center"/>
              <w:rPr>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tcPr>
          <w:p w14:paraId="27BF183E">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644CEACF">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41D5EEC4">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21F68D01">
            <w:pPr>
              <w:spacing w:line="440" w:lineRule="exact"/>
              <w:jc w:val="center"/>
              <w:rPr>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tcPr>
          <w:p w14:paraId="3D6B860F">
            <w:pPr>
              <w:spacing w:line="440" w:lineRule="exact"/>
              <w:jc w:val="center"/>
              <w:rPr>
                <w:color w:val="auto"/>
                <w:szCs w:val="21"/>
                <w:highlight w:val="none"/>
              </w:rPr>
            </w:pPr>
          </w:p>
        </w:tc>
        <w:tc>
          <w:tcPr>
            <w:tcW w:w="1876" w:type="dxa"/>
            <w:tcBorders>
              <w:top w:val="single" w:color="auto" w:sz="4" w:space="0"/>
              <w:left w:val="single" w:color="auto" w:sz="4" w:space="0"/>
              <w:bottom w:val="single" w:color="auto" w:sz="4" w:space="0"/>
              <w:right w:val="single" w:color="auto" w:sz="4" w:space="0"/>
            </w:tcBorders>
          </w:tcPr>
          <w:p w14:paraId="06C38CCB">
            <w:pPr>
              <w:spacing w:line="440" w:lineRule="exact"/>
              <w:jc w:val="center"/>
              <w:rPr>
                <w:color w:val="auto"/>
                <w:szCs w:val="21"/>
                <w:highlight w:val="none"/>
              </w:rPr>
            </w:pPr>
          </w:p>
        </w:tc>
      </w:tr>
      <w:tr w14:paraId="26832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76EC1E2C">
            <w:pPr>
              <w:spacing w:line="440" w:lineRule="exact"/>
              <w:jc w:val="center"/>
              <w:rPr>
                <w:color w:val="auto"/>
                <w:szCs w:val="21"/>
                <w:highlight w:val="none"/>
              </w:rPr>
            </w:pPr>
          </w:p>
        </w:tc>
        <w:tc>
          <w:tcPr>
            <w:tcW w:w="993" w:type="dxa"/>
            <w:tcBorders>
              <w:top w:val="single" w:color="auto" w:sz="4" w:space="0"/>
              <w:left w:val="single" w:color="auto" w:sz="4" w:space="0"/>
              <w:bottom w:val="single" w:color="auto" w:sz="4" w:space="0"/>
              <w:right w:val="single" w:color="auto" w:sz="4" w:space="0"/>
            </w:tcBorders>
          </w:tcPr>
          <w:p w14:paraId="49376887">
            <w:pPr>
              <w:spacing w:line="440" w:lineRule="exact"/>
              <w:jc w:val="center"/>
              <w:rPr>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14:paraId="05F72466">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644BBFAE">
            <w:pPr>
              <w:spacing w:line="440" w:lineRule="exact"/>
              <w:jc w:val="center"/>
              <w:rPr>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tcPr>
          <w:p w14:paraId="64176AF8">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3C2FDDCF">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6ADF769F">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6B3605A0">
            <w:pPr>
              <w:spacing w:line="440" w:lineRule="exact"/>
              <w:jc w:val="center"/>
              <w:rPr>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tcPr>
          <w:p w14:paraId="61EAFDF5">
            <w:pPr>
              <w:spacing w:line="440" w:lineRule="exact"/>
              <w:jc w:val="center"/>
              <w:rPr>
                <w:color w:val="auto"/>
                <w:szCs w:val="21"/>
                <w:highlight w:val="none"/>
              </w:rPr>
            </w:pPr>
          </w:p>
        </w:tc>
        <w:tc>
          <w:tcPr>
            <w:tcW w:w="1876" w:type="dxa"/>
            <w:tcBorders>
              <w:top w:val="single" w:color="auto" w:sz="4" w:space="0"/>
              <w:left w:val="single" w:color="auto" w:sz="4" w:space="0"/>
              <w:bottom w:val="single" w:color="auto" w:sz="4" w:space="0"/>
              <w:right w:val="single" w:color="auto" w:sz="4" w:space="0"/>
            </w:tcBorders>
          </w:tcPr>
          <w:p w14:paraId="183C2C11">
            <w:pPr>
              <w:spacing w:line="440" w:lineRule="exact"/>
              <w:jc w:val="center"/>
              <w:rPr>
                <w:color w:val="auto"/>
                <w:szCs w:val="21"/>
                <w:highlight w:val="none"/>
              </w:rPr>
            </w:pPr>
          </w:p>
        </w:tc>
      </w:tr>
      <w:tr w14:paraId="51744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742804E5">
            <w:pPr>
              <w:spacing w:line="440" w:lineRule="exact"/>
              <w:jc w:val="center"/>
              <w:rPr>
                <w:color w:val="auto"/>
                <w:szCs w:val="21"/>
                <w:highlight w:val="none"/>
              </w:rPr>
            </w:pPr>
          </w:p>
        </w:tc>
        <w:tc>
          <w:tcPr>
            <w:tcW w:w="993" w:type="dxa"/>
            <w:tcBorders>
              <w:top w:val="single" w:color="auto" w:sz="4" w:space="0"/>
              <w:left w:val="single" w:color="auto" w:sz="4" w:space="0"/>
              <w:bottom w:val="single" w:color="auto" w:sz="4" w:space="0"/>
              <w:right w:val="single" w:color="auto" w:sz="4" w:space="0"/>
            </w:tcBorders>
          </w:tcPr>
          <w:p w14:paraId="4B7B2BB5">
            <w:pPr>
              <w:spacing w:line="440" w:lineRule="exact"/>
              <w:jc w:val="center"/>
              <w:rPr>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14:paraId="4C0203F4">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64349A56">
            <w:pPr>
              <w:spacing w:line="440" w:lineRule="exact"/>
              <w:jc w:val="center"/>
              <w:rPr>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tcPr>
          <w:p w14:paraId="00441882">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1E7EF355">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32AF79CA">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10B1413F">
            <w:pPr>
              <w:spacing w:line="440" w:lineRule="exact"/>
              <w:jc w:val="center"/>
              <w:rPr>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tcPr>
          <w:p w14:paraId="2ABC5948">
            <w:pPr>
              <w:spacing w:line="440" w:lineRule="exact"/>
              <w:jc w:val="center"/>
              <w:rPr>
                <w:color w:val="auto"/>
                <w:szCs w:val="21"/>
                <w:highlight w:val="none"/>
              </w:rPr>
            </w:pPr>
          </w:p>
        </w:tc>
        <w:tc>
          <w:tcPr>
            <w:tcW w:w="1876" w:type="dxa"/>
            <w:tcBorders>
              <w:top w:val="single" w:color="auto" w:sz="4" w:space="0"/>
              <w:left w:val="single" w:color="auto" w:sz="4" w:space="0"/>
              <w:bottom w:val="single" w:color="auto" w:sz="4" w:space="0"/>
              <w:right w:val="single" w:color="auto" w:sz="4" w:space="0"/>
            </w:tcBorders>
          </w:tcPr>
          <w:p w14:paraId="281AF950">
            <w:pPr>
              <w:spacing w:line="440" w:lineRule="exact"/>
              <w:jc w:val="center"/>
              <w:rPr>
                <w:color w:val="auto"/>
                <w:szCs w:val="21"/>
                <w:highlight w:val="none"/>
              </w:rPr>
            </w:pPr>
          </w:p>
        </w:tc>
      </w:tr>
      <w:tr w14:paraId="08B7E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2CD92CC8">
            <w:pPr>
              <w:spacing w:line="440" w:lineRule="exact"/>
              <w:jc w:val="center"/>
              <w:rPr>
                <w:color w:val="auto"/>
                <w:szCs w:val="21"/>
                <w:highlight w:val="none"/>
              </w:rPr>
            </w:pPr>
          </w:p>
        </w:tc>
        <w:tc>
          <w:tcPr>
            <w:tcW w:w="993" w:type="dxa"/>
            <w:tcBorders>
              <w:top w:val="single" w:color="auto" w:sz="4" w:space="0"/>
              <w:left w:val="single" w:color="auto" w:sz="4" w:space="0"/>
              <w:bottom w:val="single" w:color="auto" w:sz="4" w:space="0"/>
              <w:right w:val="single" w:color="auto" w:sz="4" w:space="0"/>
            </w:tcBorders>
          </w:tcPr>
          <w:p w14:paraId="75D5EC54">
            <w:pPr>
              <w:spacing w:line="440" w:lineRule="exact"/>
              <w:jc w:val="center"/>
              <w:rPr>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14:paraId="1BBB1741">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475F1ACE">
            <w:pPr>
              <w:spacing w:line="440" w:lineRule="exact"/>
              <w:jc w:val="center"/>
              <w:rPr>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tcPr>
          <w:p w14:paraId="7F403C91">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43A81940">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3C76453E">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70F04369">
            <w:pPr>
              <w:spacing w:line="440" w:lineRule="exact"/>
              <w:jc w:val="center"/>
              <w:rPr>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tcPr>
          <w:p w14:paraId="6E675A2F">
            <w:pPr>
              <w:spacing w:line="440" w:lineRule="exact"/>
              <w:jc w:val="center"/>
              <w:rPr>
                <w:color w:val="auto"/>
                <w:szCs w:val="21"/>
                <w:highlight w:val="none"/>
              </w:rPr>
            </w:pPr>
          </w:p>
        </w:tc>
        <w:tc>
          <w:tcPr>
            <w:tcW w:w="1876" w:type="dxa"/>
            <w:tcBorders>
              <w:top w:val="single" w:color="auto" w:sz="4" w:space="0"/>
              <w:left w:val="single" w:color="auto" w:sz="4" w:space="0"/>
              <w:bottom w:val="single" w:color="auto" w:sz="4" w:space="0"/>
              <w:right w:val="single" w:color="auto" w:sz="4" w:space="0"/>
            </w:tcBorders>
          </w:tcPr>
          <w:p w14:paraId="2AD73B15">
            <w:pPr>
              <w:spacing w:line="440" w:lineRule="exact"/>
              <w:jc w:val="center"/>
              <w:rPr>
                <w:color w:val="auto"/>
                <w:szCs w:val="21"/>
                <w:highlight w:val="none"/>
              </w:rPr>
            </w:pPr>
          </w:p>
        </w:tc>
      </w:tr>
    </w:tbl>
    <w:p w14:paraId="6E212DF2">
      <w:pPr>
        <w:topLinePunct/>
        <w:spacing w:line="440" w:lineRule="exact"/>
        <w:jc w:val="center"/>
        <w:rPr>
          <w:color w:val="auto"/>
          <w:sz w:val="20"/>
          <w:highlight w:val="none"/>
        </w:rPr>
      </w:pPr>
    </w:p>
    <w:p w14:paraId="70C30D92">
      <w:pPr>
        <w:topLinePunct/>
        <w:spacing w:line="440" w:lineRule="exact"/>
        <w:jc w:val="center"/>
        <w:rPr>
          <w:color w:val="auto"/>
          <w:sz w:val="20"/>
          <w:highlight w:val="none"/>
        </w:rPr>
      </w:pPr>
      <w:r>
        <w:rPr>
          <w:color w:val="auto"/>
          <w:sz w:val="20"/>
          <w:highlight w:val="none"/>
        </w:rPr>
        <w:br w:type="page"/>
      </w:r>
    </w:p>
    <w:p w14:paraId="7823D7A5">
      <w:pPr>
        <w:spacing w:before="312" w:beforeLines="100" w:after="312" w:afterLines="100" w:line="440" w:lineRule="exact"/>
        <w:jc w:val="center"/>
        <w:rPr>
          <w:rFonts w:ascii="Arial" w:hAnsi="Arial" w:eastAsia="黑体"/>
          <w:b/>
          <w:bCs/>
          <w:color w:val="auto"/>
          <w:sz w:val="32"/>
          <w:szCs w:val="32"/>
          <w:highlight w:val="none"/>
        </w:rPr>
      </w:pPr>
      <w:bookmarkStart w:id="189" w:name="_Toc152042594"/>
      <w:bookmarkStart w:id="190" w:name="_Toc334766998"/>
      <w:bookmarkStart w:id="191" w:name="_Toc326223616"/>
      <w:bookmarkStart w:id="192" w:name="_Toc246996371"/>
      <w:bookmarkStart w:id="193" w:name="_Toc247085889"/>
      <w:bookmarkStart w:id="194" w:name="_Toc152045805"/>
      <w:bookmarkStart w:id="195" w:name="_Toc246997114"/>
      <w:bookmarkStart w:id="196" w:name="_Toc179632825"/>
      <w:bookmarkStart w:id="197" w:name="_Toc332188245"/>
      <w:bookmarkStart w:id="198" w:name="_Toc144974873"/>
      <w:r>
        <w:rPr>
          <w:rFonts w:ascii="Arial" w:hAnsi="Arial" w:eastAsia="黑体"/>
          <w:b/>
          <w:bCs/>
          <w:color w:val="auto"/>
          <w:sz w:val="32"/>
          <w:szCs w:val="32"/>
          <w:highlight w:val="none"/>
        </w:rPr>
        <w:t>（二）</w:t>
      </w:r>
      <w:r>
        <w:rPr>
          <w:rFonts w:hint="eastAsia" w:ascii="Arial" w:hAnsi="Arial" w:eastAsia="黑体"/>
          <w:b/>
          <w:bCs/>
          <w:color w:val="auto"/>
          <w:sz w:val="32"/>
          <w:szCs w:val="32"/>
          <w:highlight w:val="none"/>
        </w:rPr>
        <w:t>项目负责人</w:t>
      </w:r>
      <w:r>
        <w:rPr>
          <w:rFonts w:ascii="Arial" w:hAnsi="Arial" w:eastAsia="黑体"/>
          <w:b/>
          <w:bCs/>
          <w:color w:val="auto"/>
          <w:sz w:val="32"/>
          <w:szCs w:val="32"/>
          <w:highlight w:val="none"/>
        </w:rPr>
        <w:t>简历表</w:t>
      </w:r>
      <w:bookmarkEnd w:id="189"/>
      <w:bookmarkEnd w:id="190"/>
      <w:bookmarkEnd w:id="191"/>
      <w:bookmarkEnd w:id="192"/>
      <w:bookmarkEnd w:id="193"/>
      <w:bookmarkEnd w:id="194"/>
      <w:bookmarkEnd w:id="195"/>
      <w:bookmarkEnd w:id="196"/>
      <w:bookmarkEnd w:id="197"/>
      <w:bookmarkEnd w:id="198"/>
    </w:p>
    <w:p w14:paraId="03E31195">
      <w:pPr>
        <w:spacing w:line="400" w:lineRule="exact"/>
        <w:ind w:firstLine="420" w:firstLineChars="200"/>
        <w:rPr>
          <w:color w:val="auto"/>
          <w:highlight w:val="none"/>
        </w:rPr>
      </w:pPr>
      <w:r>
        <w:rPr>
          <w:rFonts w:hint="eastAsia"/>
          <w:color w:val="auto"/>
          <w:highlight w:val="none"/>
        </w:rPr>
        <w:t>项目负责人应附项目负责人身份证、职称证、学历证复印件，管理过的项目业绩须附合同协议书复印件。</w:t>
      </w:r>
    </w:p>
    <w:tbl>
      <w:tblPr>
        <w:tblStyle w:val="3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3"/>
        <w:gridCol w:w="173"/>
        <w:gridCol w:w="765"/>
        <w:gridCol w:w="314"/>
        <w:gridCol w:w="927"/>
        <w:gridCol w:w="446"/>
        <w:gridCol w:w="619"/>
        <w:gridCol w:w="708"/>
        <w:gridCol w:w="1097"/>
        <w:gridCol w:w="325"/>
        <w:gridCol w:w="2135"/>
      </w:tblGrid>
      <w:tr w14:paraId="66A23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gridSpan w:val="2"/>
            <w:vAlign w:val="center"/>
          </w:tcPr>
          <w:p w14:paraId="0AEEB6FC">
            <w:pPr>
              <w:spacing w:line="440" w:lineRule="exact"/>
              <w:jc w:val="center"/>
              <w:rPr>
                <w:rFonts w:ascii="宋体" w:hAnsi="宋体"/>
                <w:color w:val="auto"/>
                <w:szCs w:val="21"/>
                <w:highlight w:val="none"/>
              </w:rPr>
            </w:pPr>
            <w:r>
              <w:rPr>
                <w:rFonts w:ascii="宋体" w:hAnsi="宋体"/>
                <w:color w:val="auto"/>
                <w:szCs w:val="21"/>
                <w:highlight w:val="none"/>
              </w:rPr>
              <w:t>姓  名</w:t>
            </w:r>
          </w:p>
        </w:tc>
        <w:tc>
          <w:tcPr>
            <w:tcW w:w="1079" w:type="dxa"/>
            <w:gridSpan w:val="2"/>
            <w:vAlign w:val="center"/>
          </w:tcPr>
          <w:p w14:paraId="6D7A959E">
            <w:pPr>
              <w:spacing w:line="440" w:lineRule="exact"/>
              <w:jc w:val="center"/>
              <w:rPr>
                <w:rFonts w:ascii="宋体" w:hAnsi="宋体"/>
                <w:color w:val="auto"/>
                <w:szCs w:val="21"/>
                <w:highlight w:val="none"/>
              </w:rPr>
            </w:pPr>
          </w:p>
        </w:tc>
        <w:tc>
          <w:tcPr>
            <w:tcW w:w="927" w:type="dxa"/>
            <w:vAlign w:val="center"/>
          </w:tcPr>
          <w:p w14:paraId="2A6B0EF3">
            <w:pPr>
              <w:spacing w:line="440" w:lineRule="exact"/>
              <w:jc w:val="center"/>
              <w:rPr>
                <w:rFonts w:ascii="宋体" w:hAnsi="宋体"/>
                <w:color w:val="auto"/>
                <w:szCs w:val="21"/>
                <w:highlight w:val="none"/>
              </w:rPr>
            </w:pPr>
            <w:r>
              <w:rPr>
                <w:rFonts w:ascii="宋体" w:hAnsi="宋体"/>
                <w:color w:val="auto"/>
                <w:szCs w:val="21"/>
                <w:highlight w:val="none"/>
              </w:rPr>
              <w:t>年 龄</w:t>
            </w:r>
          </w:p>
        </w:tc>
        <w:tc>
          <w:tcPr>
            <w:tcW w:w="1065" w:type="dxa"/>
            <w:gridSpan w:val="2"/>
            <w:vAlign w:val="center"/>
          </w:tcPr>
          <w:p w14:paraId="6EA7E0E7">
            <w:pPr>
              <w:spacing w:line="440" w:lineRule="exact"/>
              <w:jc w:val="center"/>
              <w:rPr>
                <w:rFonts w:ascii="宋体" w:hAnsi="宋体"/>
                <w:color w:val="auto"/>
                <w:szCs w:val="21"/>
                <w:highlight w:val="none"/>
              </w:rPr>
            </w:pPr>
          </w:p>
        </w:tc>
        <w:tc>
          <w:tcPr>
            <w:tcW w:w="2130" w:type="dxa"/>
            <w:gridSpan w:val="3"/>
            <w:vAlign w:val="center"/>
          </w:tcPr>
          <w:p w14:paraId="0EB2CE1D">
            <w:pPr>
              <w:spacing w:line="440" w:lineRule="exact"/>
              <w:jc w:val="center"/>
              <w:rPr>
                <w:rFonts w:ascii="宋体" w:hAnsi="宋体"/>
                <w:color w:val="auto"/>
                <w:szCs w:val="21"/>
                <w:highlight w:val="none"/>
              </w:rPr>
            </w:pPr>
            <w:r>
              <w:rPr>
                <w:rFonts w:ascii="宋体" w:hAnsi="宋体"/>
                <w:color w:val="auto"/>
                <w:szCs w:val="21"/>
                <w:highlight w:val="none"/>
              </w:rPr>
              <w:t>学历</w:t>
            </w:r>
          </w:p>
        </w:tc>
        <w:tc>
          <w:tcPr>
            <w:tcW w:w="2135" w:type="dxa"/>
            <w:vAlign w:val="center"/>
          </w:tcPr>
          <w:p w14:paraId="4C1FDA60">
            <w:pPr>
              <w:spacing w:line="440" w:lineRule="exact"/>
              <w:rPr>
                <w:rFonts w:ascii="宋体" w:hAnsi="宋体"/>
                <w:color w:val="auto"/>
                <w:szCs w:val="21"/>
                <w:highlight w:val="none"/>
              </w:rPr>
            </w:pPr>
          </w:p>
        </w:tc>
      </w:tr>
      <w:tr w14:paraId="3951D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gridSpan w:val="2"/>
            <w:vAlign w:val="center"/>
          </w:tcPr>
          <w:p w14:paraId="0A705264">
            <w:pPr>
              <w:spacing w:line="440" w:lineRule="exact"/>
              <w:jc w:val="center"/>
              <w:rPr>
                <w:rFonts w:ascii="宋体" w:hAnsi="宋体"/>
                <w:color w:val="auto"/>
                <w:szCs w:val="21"/>
                <w:highlight w:val="none"/>
              </w:rPr>
            </w:pPr>
            <w:r>
              <w:rPr>
                <w:rFonts w:ascii="宋体" w:hAnsi="宋体"/>
                <w:color w:val="auto"/>
                <w:szCs w:val="21"/>
                <w:highlight w:val="none"/>
              </w:rPr>
              <w:t>职  称</w:t>
            </w:r>
          </w:p>
        </w:tc>
        <w:tc>
          <w:tcPr>
            <w:tcW w:w="1079" w:type="dxa"/>
            <w:gridSpan w:val="2"/>
            <w:vAlign w:val="center"/>
          </w:tcPr>
          <w:p w14:paraId="0A960009">
            <w:pPr>
              <w:spacing w:line="440" w:lineRule="exact"/>
              <w:jc w:val="center"/>
              <w:rPr>
                <w:rFonts w:ascii="宋体" w:hAnsi="宋体"/>
                <w:color w:val="auto"/>
                <w:szCs w:val="21"/>
                <w:highlight w:val="none"/>
              </w:rPr>
            </w:pPr>
          </w:p>
        </w:tc>
        <w:tc>
          <w:tcPr>
            <w:tcW w:w="927" w:type="dxa"/>
            <w:vAlign w:val="center"/>
          </w:tcPr>
          <w:p w14:paraId="70A4F083">
            <w:pPr>
              <w:spacing w:line="440" w:lineRule="exact"/>
              <w:jc w:val="center"/>
              <w:rPr>
                <w:rFonts w:ascii="宋体" w:hAnsi="宋体"/>
                <w:color w:val="auto"/>
                <w:szCs w:val="21"/>
                <w:highlight w:val="none"/>
              </w:rPr>
            </w:pPr>
            <w:r>
              <w:rPr>
                <w:rFonts w:ascii="宋体" w:hAnsi="宋体"/>
                <w:color w:val="auto"/>
                <w:szCs w:val="21"/>
                <w:highlight w:val="none"/>
              </w:rPr>
              <w:t>职 务</w:t>
            </w:r>
          </w:p>
        </w:tc>
        <w:tc>
          <w:tcPr>
            <w:tcW w:w="1065" w:type="dxa"/>
            <w:gridSpan w:val="2"/>
            <w:vAlign w:val="center"/>
          </w:tcPr>
          <w:p w14:paraId="792B1DD0">
            <w:pPr>
              <w:spacing w:line="440" w:lineRule="exact"/>
              <w:jc w:val="center"/>
              <w:rPr>
                <w:rFonts w:ascii="宋体" w:hAnsi="宋体"/>
                <w:color w:val="auto"/>
                <w:szCs w:val="21"/>
                <w:highlight w:val="none"/>
              </w:rPr>
            </w:pPr>
          </w:p>
        </w:tc>
        <w:tc>
          <w:tcPr>
            <w:tcW w:w="2130" w:type="dxa"/>
            <w:gridSpan w:val="3"/>
            <w:vAlign w:val="center"/>
          </w:tcPr>
          <w:p w14:paraId="499F4412">
            <w:pPr>
              <w:spacing w:line="440" w:lineRule="exact"/>
              <w:jc w:val="center"/>
              <w:rPr>
                <w:rFonts w:ascii="宋体" w:hAnsi="宋体"/>
                <w:color w:val="auto"/>
                <w:szCs w:val="21"/>
                <w:highlight w:val="none"/>
              </w:rPr>
            </w:pPr>
            <w:r>
              <w:rPr>
                <w:rFonts w:ascii="宋体" w:hAnsi="宋体"/>
                <w:color w:val="auto"/>
                <w:szCs w:val="21"/>
                <w:highlight w:val="none"/>
              </w:rPr>
              <w:t>拟在本合同任职</w:t>
            </w:r>
          </w:p>
        </w:tc>
        <w:tc>
          <w:tcPr>
            <w:tcW w:w="2135" w:type="dxa"/>
            <w:vAlign w:val="center"/>
          </w:tcPr>
          <w:p w14:paraId="008DDC8C">
            <w:pPr>
              <w:spacing w:line="440" w:lineRule="exact"/>
              <w:rPr>
                <w:rFonts w:ascii="宋体" w:hAnsi="宋体"/>
                <w:color w:val="auto"/>
                <w:szCs w:val="21"/>
                <w:highlight w:val="none"/>
              </w:rPr>
            </w:pPr>
          </w:p>
        </w:tc>
      </w:tr>
      <w:tr w14:paraId="24D8B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gridSpan w:val="2"/>
            <w:vAlign w:val="center"/>
          </w:tcPr>
          <w:p w14:paraId="3A54A85D">
            <w:pPr>
              <w:spacing w:line="440" w:lineRule="exact"/>
              <w:rPr>
                <w:rFonts w:ascii="宋体" w:hAnsi="宋体"/>
                <w:color w:val="auto"/>
                <w:szCs w:val="21"/>
                <w:highlight w:val="none"/>
              </w:rPr>
            </w:pPr>
            <w:r>
              <w:rPr>
                <w:rFonts w:ascii="宋体" w:hAnsi="宋体"/>
                <w:color w:val="auto"/>
                <w:szCs w:val="21"/>
                <w:highlight w:val="none"/>
              </w:rPr>
              <w:t>毕业学校</w:t>
            </w:r>
          </w:p>
        </w:tc>
        <w:tc>
          <w:tcPr>
            <w:tcW w:w="7336" w:type="dxa"/>
            <w:gridSpan w:val="9"/>
          </w:tcPr>
          <w:p w14:paraId="7E0D8159">
            <w:pPr>
              <w:spacing w:line="440" w:lineRule="exact"/>
              <w:rPr>
                <w:rFonts w:ascii="宋体" w:hAnsi="宋体"/>
                <w:color w:val="auto"/>
                <w:szCs w:val="21"/>
                <w:highlight w:val="none"/>
              </w:rPr>
            </w:pPr>
            <w:r>
              <w:rPr>
                <w:rFonts w:ascii="宋体" w:hAnsi="宋体"/>
                <w:color w:val="auto"/>
                <w:szCs w:val="21"/>
                <w:highlight w:val="none"/>
              </w:rPr>
              <w:t xml:space="preserve">      年毕业于            学校        专业</w:t>
            </w:r>
          </w:p>
        </w:tc>
      </w:tr>
      <w:tr w14:paraId="6DC9C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gridSpan w:val="2"/>
            <w:vAlign w:val="center"/>
          </w:tcPr>
          <w:p w14:paraId="7580ECD8">
            <w:pPr>
              <w:spacing w:line="440" w:lineRule="exact"/>
              <w:rPr>
                <w:rFonts w:ascii="宋体" w:hAnsi="宋体"/>
                <w:color w:val="auto"/>
                <w:szCs w:val="21"/>
                <w:highlight w:val="none"/>
              </w:rPr>
            </w:pPr>
            <w:r>
              <w:rPr>
                <w:rFonts w:hint="eastAsia" w:ascii="宋体" w:hAnsi="宋体"/>
                <w:color w:val="auto"/>
                <w:szCs w:val="21"/>
                <w:highlight w:val="none"/>
              </w:rPr>
              <w:t>同类项目工作年限（年）：</w:t>
            </w:r>
          </w:p>
        </w:tc>
        <w:tc>
          <w:tcPr>
            <w:tcW w:w="7336" w:type="dxa"/>
            <w:gridSpan w:val="9"/>
          </w:tcPr>
          <w:p w14:paraId="20EC42B4">
            <w:pPr>
              <w:spacing w:line="440" w:lineRule="exact"/>
              <w:rPr>
                <w:rFonts w:ascii="宋体" w:hAnsi="宋体"/>
                <w:color w:val="auto"/>
                <w:szCs w:val="21"/>
                <w:highlight w:val="none"/>
              </w:rPr>
            </w:pPr>
          </w:p>
        </w:tc>
      </w:tr>
      <w:tr w14:paraId="6EEEC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11"/>
            <w:vAlign w:val="center"/>
          </w:tcPr>
          <w:p w14:paraId="041110E0">
            <w:pPr>
              <w:spacing w:line="440" w:lineRule="exact"/>
              <w:rPr>
                <w:rFonts w:ascii="宋体" w:hAnsi="宋体"/>
                <w:color w:val="auto"/>
                <w:szCs w:val="21"/>
                <w:highlight w:val="none"/>
              </w:rPr>
            </w:pPr>
            <w:r>
              <w:rPr>
                <w:rFonts w:ascii="宋体" w:hAnsi="宋体"/>
                <w:color w:val="auto"/>
                <w:szCs w:val="21"/>
                <w:highlight w:val="none"/>
              </w:rPr>
              <w:t>主要工作经历</w:t>
            </w:r>
          </w:p>
        </w:tc>
      </w:tr>
      <w:tr w14:paraId="5DB65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13" w:type="dxa"/>
            <w:vAlign w:val="center"/>
          </w:tcPr>
          <w:p w14:paraId="5A88D458">
            <w:pPr>
              <w:spacing w:line="440" w:lineRule="exact"/>
              <w:rPr>
                <w:rFonts w:ascii="宋体" w:hAnsi="宋体"/>
                <w:color w:val="auto"/>
                <w:szCs w:val="21"/>
                <w:highlight w:val="none"/>
              </w:rPr>
            </w:pPr>
            <w:r>
              <w:rPr>
                <w:rFonts w:ascii="宋体" w:hAnsi="宋体"/>
                <w:color w:val="auto"/>
                <w:szCs w:val="21"/>
                <w:highlight w:val="none"/>
              </w:rPr>
              <w:t>时  间</w:t>
            </w:r>
          </w:p>
        </w:tc>
        <w:tc>
          <w:tcPr>
            <w:tcW w:w="938" w:type="dxa"/>
            <w:gridSpan w:val="2"/>
            <w:vAlign w:val="center"/>
          </w:tcPr>
          <w:p w14:paraId="250C76B8">
            <w:pPr>
              <w:spacing w:line="440" w:lineRule="exact"/>
              <w:rPr>
                <w:rFonts w:ascii="宋体" w:hAnsi="宋体"/>
                <w:color w:val="auto"/>
                <w:szCs w:val="21"/>
                <w:highlight w:val="none"/>
              </w:rPr>
            </w:pPr>
            <w:r>
              <w:rPr>
                <w:rFonts w:hint="eastAsia" w:ascii="宋体" w:hAnsi="宋体"/>
                <w:color w:val="auto"/>
                <w:szCs w:val="21"/>
                <w:highlight w:val="none"/>
              </w:rPr>
              <w:t>甲方名称</w:t>
            </w:r>
          </w:p>
        </w:tc>
        <w:tc>
          <w:tcPr>
            <w:tcW w:w="1687" w:type="dxa"/>
            <w:gridSpan w:val="3"/>
            <w:vAlign w:val="center"/>
          </w:tcPr>
          <w:p w14:paraId="5FA6BB08">
            <w:pPr>
              <w:spacing w:line="440" w:lineRule="exact"/>
              <w:rPr>
                <w:rFonts w:ascii="宋体" w:hAnsi="宋体"/>
                <w:color w:val="auto"/>
                <w:szCs w:val="21"/>
                <w:highlight w:val="none"/>
              </w:rPr>
            </w:pPr>
            <w:r>
              <w:rPr>
                <w:rFonts w:ascii="宋体" w:hAnsi="宋体"/>
                <w:color w:val="auto"/>
                <w:szCs w:val="21"/>
                <w:highlight w:val="none"/>
              </w:rPr>
              <w:t>参加过的类似项目</w:t>
            </w:r>
            <w:r>
              <w:rPr>
                <w:rFonts w:hint="eastAsia" w:ascii="宋体" w:hAnsi="宋体"/>
                <w:color w:val="auto"/>
                <w:szCs w:val="21"/>
                <w:highlight w:val="none"/>
              </w:rPr>
              <w:t>(项目名称)</w:t>
            </w:r>
          </w:p>
        </w:tc>
        <w:tc>
          <w:tcPr>
            <w:tcW w:w="1327" w:type="dxa"/>
            <w:gridSpan w:val="2"/>
            <w:vAlign w:val="center"/>
          </w:tcPr>
          <w:p w14:paraId="63801B6E">
            <w:pPr>
              <w:spacing w:line="440" w:lineRule="exact"/>
              <w:rPr>
                <w:rFonts w:ascii="宋体" w:hAnsi="宋体"/>
                <w:color w:val="auto"/>
                <w:szCs w:val="21"/>
                <w:highlight w:val="none"/>
              </w:rPr>
            </w:pPr>
            <w:r>
              <w:rPr>
                <w:rFonts w:hint="eastAsia" w:ascii="宋体" w:hAnsi="宋体"/>
                <w:color w:val="auto"/>
                <w:szCs w:val="21"/>
                <w:highlight w:val="none"/>
              </w:rPr>
              <w:t>合同金额（万元）</w:t>
            </w:r>
          </w:p>
        </w:tc>
        <w:tc>
          <w:tcPr>
            <w:tcW w:w="1097" w:type="dxa"/>
            <w:vAlign w:val="center"/>
          </w:tcPr>
          <w:p w14:paraId="4272FDCC">
            <w:pPr>
              <w:spacing w:line="440" w:lineRule="exact"/>
              <w:rPr>
                <w:rFonts w:ascii="宋体" w:hAnsi="宋体"/>
                <w:color w:val="auto"/>
                <w:szCs w:val="21"/>
                <w:highlight w:val="none"/>
              </w:rPr>
            </w:pPr>
            <w:r>
              <w:rPr>
                <w:rFonts w:ascii="宋体" w:hAnsi="宋体"/>
                <w:color w:val="auto"/>
                <w:szCs w:val="21"/>
                <w:highlight w:val="none"/>
              </w:rPr>
              <w:t>担任职务</w:t>
            </w:r>
          </w:p>
        </w:tc>
        <w:tc>
          <w:tcPr>
            <w:tcW w:w="2460" w:type="dxa"/>
            <w:gridSpan w:val="2"/>
            <w:vAlign w:val="center"/>
          </w:tcPr>
          <w:p w14:paraId="7AFD17D1">
            <w:pPr>
              <w:spacing w:line="440" w:lineRule="exact"/>
              <w:rPr>
                <w:rFonts w:ascii="宋体" w:hAnsi="宋体"/>
                <w:color w:val="auto"/>
                <w:szCs w:val="21"/>
                <w:highlight w:val="none"/>
              </w:rPr>
            </w:pPr>
            <w:r>
              <w:rPr>
                <w:rFonts w:hint="eastAsia" w:ascii="宋体" w:hAnsi="宋体"/>
                <w:color w:val="auto"/>
                <w:szCs w:val="21"/>
                <w:highlight w:val="none"/>
              </w:rPr>
              <w:t>甲方联系人</w:t>
            </w:r>
            <w:r>
              <w:rPr>
                <w:rFonts w:ascii="宋体" w:hAnsi="宋体"/>
                <w:color w:val="auto"/>
                <w:szCs w:val="21"/>
                <w:highlight w:val="none"/>
              </w:rPr>
              <w:t>及联系电话</w:t>
            </w:r>
          </w:p>
        </w:tc>
      </w:tr>
      <w:tr w14:paraId="77A12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13" w:type="dxa"/>
          </w:tcPr>
          <w:p w14:paraId="6B62637D">
            <w:pPr>
              <w:spacing w:line="440" w:lineRule="exact"/>
              <w:rPr>
                <w:rFonts w:eastAsia="黑体"/>
                <w:color w:val="auto"/>
                <w:szCs w:val="21"/>
                <w:highlight w:val="none"/>
              </w:rPr>
            </w:pPr>
          </w:p>
        </w:tc>
        <w:tc>
          <w:tcPr>
            <w:tcW w:w="938" w:type="dxa"/>
            <w:gridSpan w:val="2"/>
          </w:tcPr>
          <w:p w14:paraId="57A50DC2">
            <w:pPr>
              <w:spacing w:line="440" w:lineRule="exact"/>
              <w:rPr>
                <w:rFonts w:eastAsia="黑体"/>
                <w:color w:val="auto"/>
                <w:szCs w:val="21"/>
                <w:highlight w:val="none"/>
              </w:rPr>
            </w:pPr>
          </w:p>
        </w:tc>
        <w:tc>
          <w:tcPr>
            <w:tcW w:w="1687" w:type="dxa"/>
            <w:gridSpan w:val="3"/>
          </w:tcPr>
          <w:p w14:paraId="57F29632">
            <w:pPr>
              <w:spacing w:line="440" w:lineRule="exact"/>
              <w:rPr>
                <w:rFonts w:eastAsia="黑体"/>
                <w:color w:val="auto"/>
                <w:szCs w:val="21"/>
                <w:highlight w:val="none"/>
              </w:rPr>
            </w:pPr>
          </w:p>
        </w:tc>
        <w:tc>
          <w:tcPr>
            <w:tcW w:w="1327" w:type="dxa"/>
            <w:gridSpan w:val="2"/>
          </w:tcPr>
          <w:p w14:paraId="04C7F7FB">
            <w:pPr>
              <w:spacing w:line="440" w:lineRule="exact"/>
              <w:rPr>
                <w:rFonts w:eastAsia="黑体"/>
                <w:color w:val="auto"/>
                <w:szCs w:val="21"/>
                <w:highlight w:val="none"/>
              </w:rPr>
            </w:pPr>
          </w:p>
        </w:tc>
        <w:tc>
          <w:tcPr>
            <w:tcW w:w="1097" w:type="dxa"/>
          </w:tcPr>
          <w:p w14:paraId="1C6D923A">
            <w:pPr>
              <w:spacing w:line="440" w:lineRule="exact"/>
              <w:rPr>
                <w:rFonts w:eastAsia="黑体"/>
                <w:color w:val="auto"/>
                <w:szCs w:val="21"/>
                <w:highlight w:val="none"/>
              </w:rPr>
            </w:pPr>
          </w:p>
        </w:tc>
        <w:tc>
          <w:tcPr>
            <w:tcW w:w="2460" w:type="dxa"/>
            <w:gridSpan w:val="2"/>
          </w:tcPr>
          <w:p w14:paraId="33C7D380">
            <w:pPr>
              <w:spacing w:line="440" w:lineRule="exact"/>
              <w:rPr>
                <w:rFonts w:eastAsia="黑体"/>
                <w:color w:val="auto"/>
                <w:szCs w:val="21"/>
                <w:highlight w:val="none"/>
              </w:rPr>
            </w:pPr>
          </w:p>
        </w:tc>
      </w:tr>
      <w:tr w14:paraId="5C3EF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13" w:type="dxa"/>
          </w:tcPr>
          <w:p w14:paraId="30927219">
            <w:pPr>
              <w:spacing w:line="440" w:lineRule="exact"/>
              <w:rPr>
                <w:rFonts w:eastAsia="黑体"/>
                <w:color w:val="auto"/>
                <w:szCs w:val="21"/>
                <w:highlight w:val="none"/>
              </w:rPr>
            </w:pPr>
          </w:p>
        </w:tc>
        <w:tc>
          <w:tcPr>
            <w:tcW w:w="938" w:type="dxa"/>
            <w:gridSpan w:val="2"/>
          </w:tcPr>
          <w:p w14:paraId="4F6552F0">
            <w:pPr>
              <w:spacing w:line="440" w:lineRule="exact"/>
              <w:rPr>
                <w:rFonts w:eastAsia="黑体"/>
                <w:color w:val="auto"/>
                <w:szCs w:val="21"/>
                <w:highlight w:val="none"/>
              </w:rPr>
            </w:pPr>
          </w:p>
        </w:tc>
        <w:tc>
          <w:tcPr>
            <w:tcW w:w="1687" w:type="dxa"/>
            <w:gridSpan w:val="3"/>
          </w:tcPr>
          <w:p w14:paraId="41DCE7CC">
            <w:pPr>
              <w:spacing w:line="440" w:lineRule="exact"/>
              <w:rPr>
                <w:rFonts w:eastAsia="黑体"/>
                <w:color w:val="auto"/>
                <w:szCs w:val="21"/>
                <w:highlight w:val="none"/>
              </w:rPr>
            </w:pPr>
          </w:p>
        </w:tc>
        <w:tc>
          <w:tcPr>
            <w:tcW w:w="1327" w:type="dxa"/>
            <w:gridSpan w:val="2"/>
          </w:tcPr>
          <w:p w14:paraId="781AD206">
            <w:pPr>
              <w:spacing w:line="440" w:lineRule="exact"/>
              <w:rPr>
                <w:rFonts w:eastAsia="黑体"/>
                <w:color w:val="auto"/>
                <w:szCs w:val="21"/>
                <w:highlight w:val="none"/>
              </w:rPr>
            </w:pPr>
          </w:p>
        </w:tc>
        <w:tc>
          <w:tcPr>
            <w:tcW w:w="1097" w:type="dxa"/>
          </w:tcPr>
          <w:p w14:paraId="203329FA">
            <w:pPr>
              <w:spacing w:line="440" w:lineRule="exact"/>
              <w:rPr>
                <w:rFonts w:eastAsia="黑体"/>
                <w:color w:val="auto"/>
                <w:szCs w:val="21"/>
                <w:highlight w:val="none"/>
              </w:rPr>
            </w:pPr>
          </w:p>
        </w:tc>
        <w:tc>
          <w:tcPr>
            <w:tcW w:w="2460" w:type="dxa"/>
            <w:gridSpan w:val="2"/>
          </w:tcPr>
          <w:p w14:paraId="2EBBBFE7">
            <w:pPr>
              <w:spacing w:line="440" w:lineRule="exact"/>
              <w:rPr>
                <w:rFonts w:eastAsia="黑体"/>
                <w:color w:val="auto"/>
                <w:szCs w:val="21"/>
                <w:highlight w:val="none"/>
              </w:rPr>
            </w:pPr>
          </w:p>
        </w:tc>
      </w:tr>
      <w:tr w14:paraId="49326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13" w:type="dxa"/>
          </w:tcPr>
          <w:p w14:paraId="1BA253ED">
            <w:pPr>
              <w:spacing w:line="440" w:lineRule="exact"/>
              <w:rPr>
                <w:rFonts w:eastAsia="黑体"/>
                <w:color w:val="auto"/>
                <w:szCs w:val="21"/>
                <w:highlight w:val="none"/>
              </w:rPr>
            </w:pPr>
          </w:p>
        </w:tc>
        <w:tc>
          <w:tcPr>
            <w:tcW w:w="938" w:type="dxa"/>
            <w:gridSpan w:val="2"/>
          </w:tcPr>
          <w:p w14:paraId="613A01B3">
            <w:pPr>
              <w:spacing w:line="440" w:lineRule="exact"/>
              <w:rPr>
                <w:rFonts w:eastAsia="黑体"/>
                <w:color w:val="auto"/>
                <w:szCs w:val="21"/>
                <w:highlight w:val="none"/>
              </w:rPr>
            </w:pPr>
          </w:p>
        </w:tc>
        <w:tc>
          <w:tcPr>
            <w:tcW w:w="1687" w:type="dxa"/>
            <w:gridSpan w:val="3"/>
          </w:tcPr>
          <w:p w14:paraId="5F89718B">
            <w:pPr>
              <w:spacing w:line="440" w:lineRule="exact"/>
              <w:rPr>
                <w:rFonts w:eastAsia="黑体"/>
                <w:color w:val="auto"/>
                <w:szCs w:val="21"/>
                <w:highlight w:val="none"/>
              </w:rPr>
            </w:pPr>
          </w:p>
        </w:tc>
        <w:tc>
          <w:tcPr>
            <w:tcW w:w="1327" w:type="dxa"/>
            <w:gridSpan w:val="2"/>
          </w:tcPr>
          <w:p w14:paraId="5687CB70">
            <w:pPr>
              <w:spacing w:line="440" w:lineRule="exact"/>
              <w:rPr>
                <w:rFonts w:eastAsia="黑体"/>
                <w:color w:val="auto"/>
                <w:szCs w:val="21"/>
                <w:highlight w:val="none"/>
              </w:rPr>
            </w:pPr>
          </w:p>
        </w:tc>
        <w:tc>
          <w:tcPr>
            <w:tcW w:w="1097" w:type="dxa"/>
          </w:tcPr>
          <w:p w14:paraId="75D3296E">
            <w:pPr>
              <w:spacing w:line="440" w:lineRule="exact"/>
              <w:rPr>
                <w:rFonts w:eastAsia="黑体"/>
                <w:color w:val="auto"/>
                <w:szCs w:val="21"/>
                <w:highlight w:val="none"/>
              </w:rPr>
            </w:pPr>
          </w:p>
        </w:tc>
        <w:tc>
          <w:tcPr>
            <w:tcW w:w="2460" w:type="dxa"/>
            <w:gridSpan w:val="2"/>
          </w:tcPr>
          <w:p w14:paraId="5A433CE8">
            <w:pPr>
              <w:spacing w:line="440" w:lineRule="exact"/>
              <w:rPr>
                <w:rFonts w:eastAsia="黑体"/>
                <w:color w:val="auto"/>
                <w:szCs w:val="21"/>
                <w:highlight w:val="none"/>
              </w:rPr>
            </w:pPr>
          </w:p>
        </w:tc>
      </w:tr>
      <w:tr w14:paraId="302B7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13" w:type="dxa"/>
          </w:tcPr>
          <w:p w14:paraId="36721879">
            <w:pPr>
              <w:spacing w:line="440" w:lineRule="exact"/>
              <w:rPr>
                <w:rFonts w:eastAsia="黑体"/>
                <w:color w:val="auto"/>
                <w:szCs w:val="21"/>
                <w:highlight w:val="none"/>
              </w:rPr>
            </w:pPr>
          </w:p>
        </w:tc>
        <w:tc>
          <w:tcPr>
            <w:tcW w:w="938" w:type="dxa"/>
            <w:gridSpan w:val="2"/>
          </w:tcPr>
          <w:p w14:paraId="050EB772">
            <w:pPr>
              <w:spacing w:line="440" w:lineRule="exact"/>
              <w:rPr>
                <w:rFonts w:eastAsia="黑体"/>
                <w:color w:val="auto"/>
                <w:szCs w:val="21"/>
                <w:highlight w:val="none"/>
              </w:rPr>
            </w:pPr>
          </w:p>
        </w:tc>
        <w:tc>
          <w:tcPr>
            <w:tcW w:w="1687" w:type="dxa"/>
            <w:gridSpan w:val="3"/>
          </w:tcPr>
          <w:p w14:paraId="760E86A7">
            <w:pPr>
              <w:spacing w:line="440" w:lineRule="exact"/>
              <w:rPr>
                <w:rFonts w:eastAsia="黑体"/>
                <w:color w:val="auto"/>
                <w:szCs w:val="21"/>
                <w:highlight w:val="none"/>
              </w:rPr>
            </w:pPr>
          </w:p>
        </w:tc>
        <w:tc>
          <w:tcPr>
            <w:tcW w:w="1327" w:type="dxa"/>
            <w:gridSpan w:val="2"/>
          </w:tcPr>
          <w:p w14:paraId="7508A625">
            <w:pPr>
              <w:spacing w:line="440" w:lineRule="exact"/>
              <w:rPr>
                <w:rFonts w:eastAsia="黑体"/>
                <w:color w:val="auto"/>
                <w:szCs w:val="21"/>
                <w:highlight w:val="none"/>
              </w:rPr>
            </w:pPr>
          </w:p>
        </w:tc>
        <w:tc>
          <w:tcPr>
            <w:tcW w:w="1097" w:type="dxa"/>
          </w:tcPr>
          <w:p w14:paraId="69708FEA">
            <w:pPr>
              <w:spacing w:line="440" w:lineRule="exact"/>
              <w:rPr>
                <w:rFonts w:eastAsia="黑体"/>
                <w:color w:val="auto"/>
                <w:szCs w:val="21"/>
                <w:highlight w:val="none"/>
              </w:rPr>
            </w:pPr>
          </w:p>
        </w:tc>
        <w:tc>
          <w:tcPr>
            <w:tcW w:w="2460" w:type="dxa"/>
            <w:gridSpan w:val="2"/>
          </w:tcPr>
          <w:p w14:paraId="486DA776">
            <w:pPr>
              <w:spacing w:line="440" w:lineRule="exact"/>
              <w:rPr>
                <w:rFonts w:eastAsia="黑体"/>
                <w:color w:val="auto"/>
                <w:szCs w:val="21"/>
                <w:highlight w:val="none"/>
              </w:rPr>
            </w:pPr>
          </w:p>
        </w:tc>
      </w:tr>
      <w:tr w14:paraId="792AD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13" w:type="dxa"/>
          </w:tcPr>
          <w:p w14:paraId="4269C8D7">
            <w:pPr>
              <w:spacing w:line="440" w:lineRule="exact"/>
              <w:rPr>
                <w:rFonts w:eastAsia="黑体"/>
                <w:color w:val="auto"/>
                <w:szCs w:val="21"/>
                <w:highlight w:val="none"/>
              </w:rPr>
            </w:pPr>
          </w:p>
        </w:tc>
        <w:tc>
          <w:tcPr>
            <w:tcW w:w="938" w:type="dxa"/>
            <w:gridSpan w:val="2"/>
          </w:tcPr>
          <w:p w14:paraId="77CF5758">
            <w:pPr>
              <w:spacing w:line="440" w:lineRule="exact"/>
              <w:rPr>
                <w:rFonts w:eastAsia="黑体"/>
                <w:color w:val="auto"/>
                <w:szCs w:val="21"/>
                <w:highlight w:val="none"/>
              </w:rPr>
            </w:pPr>
          </w:p>
        </w:tc>
        <w:tc>
          <w:tcPr>
            <w:tcW w:w="1687" w:type="dxa"/>
            <w:gridSpan w:val="3"/>
          </w:tcPr>
          <w:p w14:paraId="593E357C">
            <w:pPr>
              <w:spacing w:line="440" w:lineRule="exact"/>
              <w:rPr>
                <w:rFonts w:eastAsia="黑体"/>
                <w:color w:val="auto"/>
                <w:szCs w:val="21"/>
                <w:highlight w:val="none"/>
              </w:rPr>
            </w:pPr>
          </w:p>
        </w:tc>
        <w:tc>
          <w:tcPr>
            <w:tcW w:w="1327" w:type="dxa"/>
            <w:gridSpan w:val="2"/>
          </w:tcPr>
          <w:p w14:paraId="3BB9DB71">
            <w:pPr>
              <w:spacing w:line="440" w:lineRule="exact"/>
              <w:rPr>
                <w:rFonts w:eastAsia="黑体"/>
                <w:color w:val="auto"/>
                <w:szCs w:val="21"/>
                <w:highlight w:val="none"/>
              </w:rPr>
            </w:pPr>
          </w:p>
        </w:tc>
        <w:tc>
          <w:tcPr>
            <w:tcW w:w="1097" w:type="dxa"/>
          </w:tcPr>
          <w:p w14:paraId="303CC4AB">
            <w:pPr>
              <w:spacing w:line="440" w:lineRule="exact"/>
              <w:rPr>
                <w:rFonts w:eastAsia="黑体"/>
                <w:color w:val="auto"/>
                <w:szCs w:val="21"/>
                <w:highlight w:val="none"/>
              </w:rPr>
            </w:pPr>
          </w:p>
        </w:tc>
        <w:tc>
          <w:tcPr>
            <w:tcW w:w="2460" w:type="dxa"/>
            <w:gridSpan w:val="2"/>
          </w:tcPr>
          <w:p w14:paraId="2E486F8F">
            <w:pPr>
              <w:spacing w:line="440" w:lineRule="exact"/>
              <w:rPr>
                <w:rFonts w:eastAsia="黑体"/>
                <w:color w:val="auto"/>
                <w:szCs w:val="21"/>
                <w:highlight w:val="none"/>
              </w:rPr>
            </w:pPr>
          </w:p>
        </w:tc>
      </w:tr>
      <w:tr w14:paraId="0A72E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13" w:type="dxa"/>
          </w:tcPr>
          <w:p w14:paraId="11F2970E">
            <w:pPr>
              <w:spacing w:line="440" w:lineRule="exact"/>
              <w:rPr>
                <w:rFonts w:eastAsia="黑体"/>
                <w:color w:val="auto"/>
                <w:szCs w:val="21"/>
                <w:highlight w:val="none"/>
              </w:rPr>
            </w:pPr>
          </w:p>
        </w:tc>
        <w:tc>
          <w:tcPr>
            <w:tcW w:w="938" w:type="dxa"/>
            <w:gridSpan w:val="2"/>
          </w:tcPr>
          <w:p w14:paraId="68D2C917">
            <w:pPr>
              <w:spacing w:line="440" w:lineRule="exact"/>
              <w:rPr>
                <w:rFonts w:eastAsia="黑体"/>
                <w:color w:val="auto"/>
                <w:szCs w:val="21"/>
                <w:highlight w:val="none"/>
              </w:rPr>
            </w:pPr>
          </w:p>
        </w:tc>
        <w:tc>
          <w:tcPr>
            <w:tcW w:w="1687" w:type="dxa"/>
            <w:gridSpan w:val="3"/>
          </w:tcPr>
          <w:p w14:paraId="65D28104">
            <w:pPr>
              <w:spacing w:line="440" w:lineRule="exact"/>
              <w:rPr>
                <w:rFonts w:eastAsia="黑体"/>
                <w:color w:val="auto"/>
                <w:szCs w:val="21"/>
                <w:highlight w:val="none"/>
              </w:rPr>
            </w:pPr>
          </w:p>
        </w:tc>
        <w:tc>
          <w:tcPr>
            <w:tcW w:w="1327" w:type="dxa"/>
            <w:gridSpan w:val="2"/>
          </w:tcPr>
          <w:p w14:paraId="6C8F4158">
            <w:pPr>
              <w:spacing w:line="440" w:lineRule="exact"/>
              <w:rPr>
                <w:rFonts w:eastAsia="黑体"/>
                <w:color w:val="auto"/>
                <w:szCs w:val="21"/>
                <w:highlight w:val="none"/>
              </w:rPr>
            </w:pPr>
          </w:p>
        </w:tc>
        <w:tc>
          <w:tcPr>
            <w:tcW w:w="1097" w:type="dxa"/>
          </w:tcPr>
          <w:p w14:paraId="21037B97">
            <w:pPr>
              <w:spacing w:line="440" w:lineRule="exact"/>
              <w:rPr>
                <w:rFonts w:eastAsia="黑体"/>
                <w:color w:val="auto"/>
                <w:szCs w:val="21"/>
                <w:highlight w:val="none"/>
              </w:rPr>
            </w:pPr>
          </w:p>
        </w:tc>
        <w:tc>
          <w:tcPr>
            <w:tcW w:w="2460" w:type="dxa"/>
            <w:gridSpan w:val="2"/>
          </w:tcPr>
          <w:p w14:paraId="58CAE590">
            <w:pPr>
              <w:spacing w:line="440" w:lineRule="exact"/>
              <w:rPr>
                <w:rFonts w:eastAsia="黑体"/>
                <w:color w:val="auto"/>
                <w:szCs w:val="21"/>
                <w:highlight w:val="none"/>
              </w:rPr>
            </w:pPr>
          </w:p>
        </w:tc>
      </w:tr>
      <w:tr w14:paraId="69343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13" w:type="dxa"/>
          </w:tcPr>
          <w:p w14:paraId="5AE0761C">
            <w:pPr>
              <w:spacing w:line="440" w:lineRule="exact"/>
              <w:rPr>
                <w:rFonts w:eastAsia="黑体"/>
                <w:color w:val="auto"/>
                <w:szCs w:val="21"/>
                <w:highlight w:val="none"/>
              </w:rPr>
            </w:pPr>
          </w:p>
        </w:tc>
        <w:tc>
          <w:tcPr>
            <w:tcW w:w="938" w:type="dxa"/>
            <w:gridSpan w:val="2"/>
          </w:tcPr>
          <w:p w14:paraId="294AE6FC">
            <w:pPr>
              <w:spacing w:line="440" w:lineRule="exact"/>
              <w:rPr>
                <w:rFonts w:eastAsia="黑体"/>
                <w:color w:val="auto"/>
                <w:szCs w:val="21"/>
                <w:highlight w:val="none"/>
              </w:rPr>
            </w:pPr>
          </w:p>
        </w:tc>
        <w:tc>
          <w:tcPr>
            <w:tcW w:w="1687" w:type="dxa"/>
            <w:gridSpan w:val="3"/>
          </w:tcPr>
          <w:p w14:paraId="7021F012">
            <w:pPr>
              <w:spacing w:line="440" w:lineRule="exact"/>
              <w:rPr>
                <w:rFonts w:eastAsia="黑体"/>
                <w:color w:val="auto"/>
                <w:szCs w:val="21"/>
                <w:highlight w:val="none"/>
              </w:rPr>
            </w:pPr>
          </w:p>
        </w:tc>
        <w:tc>
          <w:tcPr>
            <w:tcW w:w="1327" w:type="dxa"/>
            <w:gridSpan w:val="2"/>
          </w:tcPr>
          <w:p w14:paraId="70FE563F">
            <w:pPr>
              <w:spacing w:line="440" w:lineRule="exact"/>
              <w:rPr>
                <w:rFonts w:eastAsia="黑体"/>
                <w:color w:val="auto"/>
                <w:szCs w:val="21"/>
                <w:highlight w:val="none"/>
              </w:rPr>
            </w:pPr>
          </w:p>
        </w:tc>
        <w:tc>
          <w:tcPr>
            <w:tcW w:w="1097" w:type="dxa"/>
          </w:tcPr>
          <w:p w14:paraId="0C160075">
            <w:pPr>
              <w:spacing w:line="440" w:lineRule="exact"/>
              <w:rPr>
                <w:rFonts w:eastAsia="黑体"/>
                <w:color w:val="auto"/>
                <w:szCs w:val="21"/>
                <w:highlight w:val="none"/>
              </w:rPr>
            </w:pPr>
          </w:p>
        </w:tc>
        <w:tc>
          <w:tcPr>
            <w:tcW w:w="2460" w:type="dxa"/>
            <w:gridSpan w:val="2"/>
          </w:tcPr>
          <w:p w14:paraId="210848FA">
            <w:pPr>
              <w:spacing w:line="440" w:lineRule="exact"/>
              <w:rPr>
                <w:rFonts w:eastAsia="黑体"/>
                <w:color w:val="auto"/>
                <w:szCs w:val="21"/>
                <w:highlight w:val="none"/>
              </w:rPr>
            </w:pPr>
          </w:p>
        </w:tc>
      </w:tr>
      <w:tr w14:paraId="04CE6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13" w:type="dxa"/>
          </w:tcPr>
          <w:p w14:paraId="4F71781D">
            <w:pPr>
              <w:spacing w:line="440" w:lineRule="exact"/>
              <w:rPr>
                <w:rFonts w:eastAsia="黑体"/>
                <w:color w:val="auto"/>
                <w:szCs w:val="21"/>
                <w:highlight w:val="none"/>
              </w:rPr>
            </w:pPr>
          </w:p>
        </w:tc>
        <w:tc>
          <w:tcPr>
            <w:tcW w:w="938" w:type="dxa"/>
            <w:gridSpan w:val="2"/>
          </w:tcPr>
          <w:p w14:paraId="4C7F0E75">
            <w:pPr>
              <w:spacing w:line="440" w:lineRule="exact"/>
              <w:rPr>
                <w:rFonts w:eastAsia="黑体"/>
                <w:color w:val="auto"/>
                <w:szCs w:val="21"/>
                <w:highlight w:val="none"/>
              </w:rPr>
            </w:pPr>
          </w:p>
        </w:tc>
        <w:tc>
          <w:tcPr>
            <w:tcW w:w="1687" w:type="dxa"/>
            <w:gridSpan w:val="3"/>
          </w:tcPr>
          <w:p w14:paraId="00622F96">
            <w:pPr>
              <w:spacing w:line="440" w:lineRule="exact"/>
              <w:rPr>
                <w:rFonts w:eastAsia="黑体"/>
                <w:color w:val="auto"/>
                <w:szCs w:val="21"/>
                <w:highlight w:val="none"/>
              </w:rPr>
            </w:pPr>
          </w:p>
        </w:tc>
        <w:tc>
          <w:tcPr>
            <w:tcW w:w="1327" w:type="dxa"/>
            <w:gridSpan w:val="2"/>
          </w:tcPr>
          <w:p w14:paraId="4AF29AAF">
            <w:pPr>
              <w:spacing w:line="440" w:lineRule="exact"/>
              <w:rPr>
                <w:rFonts w:eastAsia="黑体"/>
                <w:color w:val="auto"/>
                <w:szCs w:val="21"/>
                <w:highlight w:val="none"/>
              </w:rPr>
            </w:pPr>
          </w:p>
        </w:tc>
        <w:tc>
          <w:tcPr>
            <w:tcW w:w="1097" w:type="dxa"/>
          </w:tcPr>
          <w:p w14:paraId="61DA5970">
            <w:pPr>
              <w:spacing w:line="440" w:lineRule="exact"/>
              <w:rPr>
                <w:rFonts w:eastAsia="黑体"/>
                <w:color w:val="auto"/>
                <w:szCs w:val="21"/>
                <w:highlight w:val="none"/>
              </w:rPr>
            </w:pPr>
          </w:p>
        </w:tc>
        <w:tc>
          <w:tcPr>
            <w:tcW w:w="2460" w:type="dxa"/>
            <w:gridSpan w:val="2"/>
          </w:tcPr>
          <w:p w14:paraId="7677F2AC">
            <w:pPr>
              <w:spacing w:line="440" w:lineRule="exact"/>
              <w:rPr>
                <w:rFonts w:eastAsia="黑体"/>
                <w:color w:val="auto"/>
                <w:szCs w:val="21"/>
                <w:highlight w:val="none"/>
              </w:rPr>
            </w:pPr>
          </w:p>
        </w:tc>
      </w:tr>
      <w:tr w14:paraId="65844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13" w:type="dxa"/>
          </w:tcPr>
          <w:p w14:paraId="67C780AF">
            <w:pPr>
              <w:spacing w:line="440" w:lineRule="exact"/>
              <w:rPr>
                <w:rFonts w:eastAsia="黑体"/>
                <w:color w:val="auto"/>
                <w:szCs w:val="21"/>
                <w:highlight w:val="none"/>
              </w:rPr>
            </w:pPr>
          </w:p>
        </w:tc>
        <w:tc>
          <w:tcPr>
            <w:tcW w:w="938" w:type="dxa"/>
            <w:gridSpan w:val="2"/>
          </w:tcPr>
          <w:p w14:paraId="42DE02C9">
            <w:pPr>
              <w:spacing w:line="440" w:lineRule="exact"/>
              <w:rPr>
                <w:rFonts w:eastAsia="黑体"/>
                <w:color w:val="auto"/>
                <w:szCs w:val="21"/>
                <w:highlight w:val="none"/>
              </w:rPr>
            </w:pPr>
          </w:p>
        </w:tc>
        <w:tc>
          <w:tcPr>
            <w:tcW w:w="1687" w:type="dxa"/>
            <w:gridSpan w:val="3"/>
          </w:tcPr>
          <w:p w14:paraId="4A8E30BB">
            <w:pPr>
              <w:spacing w:line="440" w:lineRule="exact"/>
              <w:rPr>
                <w:rFonts w:eastAsia="黑体"/>
                <w:color w:val="auto"/>
                <w:szCs w:val="21"/>
                <w:highlight w:val="none"/>
              </w:rPr>
            </w:pPr>
          </w:p>
        </w:tc>
        <w:tc>
          <w:tcPr>
            <w:tcW w:w="1327" w:type="dxa"/>
            <w:gridSpan w:val="2"/>
          </w:tcPr>
          <w:p w14:paraId="320B3880">
            <w:pPr>
              <w:spacing w:line="440" w:lineRule="exact"/>
              <w:rPr>
                <w:rFonts w:eastAsia="黑体"/>
                <w:color w:val="auto"/>
                <w:szCs w:val="21"/>
                <w:highlight w:val="none"/>
              </w:rPr>
            </w:pPr>
          </w:p>
        </w:tc>
        <w:tc>
          <w:tcPr>
            <w:tcW w:w="1097" w:type="dxa"/>
          </w:tcPr>
          <w:p w14:paraId="763CE233">
            <w:pPr>
              <w:spacing w:line="440" w:lineRule="exact"/>
              <w:rPr>
                <w:rFonts w:eastAsia="黑体"/>
                <w:color w:val="auto"/>
                <w:szCs w:val="21"/>
                <w:highlight w:val="none"/>
              </w:rPr>
            </w:pPr>
          </w:p>
        </w:tc>
        <w:tc>
          <w:tcPr>
            <w:tcW w:w="2460" w:type="dxa"/>
            <w:gridSpan w:val="2"/>
          </w:tcPr>
          <w:p w14:paraId="5BAB54D7">
            <w:pPr>
              <w:spacing w:line="440" w:lineRule="exact"/>
              <w:rPr>
                <w:rFonts w:eastAsia="黑体"/>
                <w:color w:val="auto"/>
                <w:szCs w:val="21"/>
                <w:highlight w:val="none"/>
              </w:rPr>
            </w:pPr>
          </w:p>
        </w:tc>
      </w:tr>
      <w:tr w14:paraId="1C34A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13" w:type="dxa"/>
          </w:tcPr>
          <w:p w14:paraId="166EF3B3">
            <w:pPr>
              <w:spacing w:line="440" w:lineRule="exact"/>
              <w:rPr>
                <w:rFonts w:eastAsia="黑体"/>
                <w:color w:val="auto"/>
                <w:szCs w:val="21"/>
                <w:highlight w:val="none"/>
              </w:rPr>
            </w:pPr>
          </w:p>
        </w:tc>
        <w:tc>
          <w:tcPr>
            <w:tcW w:w="938" w:type="dxa"/>
            <w:gridSpan w:val="2"/>
          </w:tcPr>
          <w:p w14:paraId="4183E46D">
            <w:pPr>
              <w:spacing w:line="440" w:lineRule="exact"/>
              <w:rPr>
                <w:rFonts w:eastAsia="黑体"/>
                <w:color w:val="auto"/>
                <w:szCs w:val="21"/>
                <w:highlight w:val="none"/>
              </w:rPr>
            </w:pPr>
          </w:p>
        </w:tc>
        <w:tc>
          <w:tcPr>
            <w:tcW w:w="1687" w:type="dxa"/>
            <w:gridSpan w:val="3"/>
          </w:tcPr>
          <w:p w14:paraId="1F868E1C">
            <w:pPr>
              <w:spacing w:line="440" w:lineRule="exact"/>
              <w:rPr>
                <w:rFonts w:eastAsia="黑体"/>
                <w:color w:val="auto"/>
                <w:szCs w:val="21"/>
                <w:highlight w:val="none"/>
              </w:rPr>
            </w:pPr>
          </w:p>
        </w:tc>
        <w:tc>
          <w:tcPr>
            <w:tcW w:w="1327" w:type="dxa"/>
            <w:gridSpan w:val="2"/>
          </w:tcPr>
          <w:p w14:paraId="3EB96BCB">
            <w:pPr>
              <w:spacing w:line="440" w:lineRule="exact"/>
              <w:rPr>
                <w:rFonts w:eastAsia="黑体"/>
                <w:color w:val="auto"/>
                <w:szCs w:val="21"/>
                <w:highlight w:val="none"/>
              </w:rPr>
            </w:pPr>
          </w:p>
        </w:tc>
        <w:tc>
          <w:tcPr>
            <w:tcW w:w="1097" w:type="dxa"/>
          </w:tcPr>
          <w:p w14:paraId="685F6489">
            <w:pPr>
              <w:spacing w:line="440" w:lineRule="exact"/>
              <w:rPr>
                <w:rFonts w:eastAsia="黑体"/>
                <w:color w:val="auto"/>
                <w:szCs w:val="21"/>
                <w:highlight w:val="none"/>
              </w:rPr>
            </w:pPr>
          </w:p>
        </w:tc>
        <w:tc>
          <w:tcPr>
            <w:tcW w:w="2460" w:type="dxa"/>
            <w:gridSpan w:val="2"/>
          </w:tcPr>
          <w:p w14:paraId="5935CB46">
            <w:pPr>
              <w:spacing w:line="440" w:lineRule="exact"/>
              <w:rPr>
                <w:rFonts w:eastAsia="黑体"/>
                <w:color w:val="auto"/>
                <w:szCs w:val="21"/>
                <w:highlight w:val="none"/>
              </w:rPr>
            </w:pPr>
          </w:p>
        </w:tc>
      </w:tr>
    </w:tbl>
    <w:p w14:paraId="779CF1BC">
      <w:pPr>
        <w:spacing w:line="440" w:lineRule="exact"/>
        <w:rPr>
          <w:color w:val="auto"/>
          <w:szCs w:val="21"/>
          <w:highlight w:val="none"/>
        </w:rPr>
      </w:pPr>
    </w:p>
    <w:p w14:paraId="22257D32">
      <w:pPr>
        <w:widowControl/>
        <w:jc w:val="left"/>
        <w:rPr>
          <w:color w:val="auto"/>
          <w:szCs w:val="21"/>
          <w:highlight w:val="none"/>
        </w:rPr>
      </w:pPr>
      <w:r>
        <w:rPr>
          <w:color w:val="auto"/>
          <w:szCs w:val="21"/>
          <w:highlight w:val="none"/>
        </w:rPr>
        <w:br w:type="page"/>
      </w:r>
    </w:p>
    <w:p w14:paraId="03C2F550">
      <w:pPr>
        <w:pStyle w:val="6"/>
        <w:jc w:val="center"/>
        <w:rPr>
          <w:rFonts w:ascii="黑体"/>
          <w:color w:val="auto"/>
          <w:highlight w:val="none"/>
        </w:rPr>
      </w:pPr>
      <w:bookmarkStart w:id="199" w:name="_Toc486425436"/>
      <w:bookmarkStart w:id="200" w:name="_Toc475483727"/>
      <w:bookmarkStart w:id="201" w:name="_Toc12349"/>
      <w:r>
        <w:rPr>
          <w:rFonts w:hint="eastAsia" w:ascii="黑体"/>
          <w:color w:val="auto"/>
          <w:highlight w:val="none"/>
        </w:rPr>
        <w:t>八、</w:t>
      </w:r>
      <w:r>
        <w:rPr>
          <w:color w:val="auto"/>
          <w:highlight w:val="none"/>
        </w:rPr>
        <w:fldChar w:fldCharType="begin" w:fldLock="1"/>
      </w:r>
      <w:r>
        <w:rPr>
          <w:color w:val="auto"/>
          <w:highlight w:val="none"/>
        </w:rPr>
        <w:instrText xml:space="preserve"> HYPERLINK \l "_Toc338661813" </w:instrText>
      </w:r>
      <w:r>
        <w:rPr>
          <w:color w:val="auto"/>
          <w:highlight w:val="none"/>
        </w:rPr>
        <w:fldChar w:fldCharType="separate"/>
      </w:r>
      <w:r>
        <w:rPr>
          <w:rFonts w:hint="eastAsia" w:ascii="黑体"/>
          <w:b w:val="0"/>
          <w:color w:val="auto"/>
          <w:highlight w:val="none"/>
        </w:rPr>
        <w:t>实质性条款偏离表</w:t>
      </w:r>
      <w:bookmarkEnd w:id="199"/>
      <w:bookmarkEnd w:id="200"/>
      <w:r>
        <w:rPr>
          <w:rFonts w:hint="eastAsia" w:ascii="黑体"/>
          <w:b w:val="0"/>
          <w:color w:val="auto"/>
          <w:highlight w:val="none"/>
        </w:rPr>
        <w:fldChar w:fldCharType="end"/>
      </w:r>
      <w:bookmarkEnd w:id="201"/>
    </w:p>
    <w:p w14:paraId="2AA6D503">
      <w:pPr>
        <w:rPr>
          <w:color w:val="auto"/>
          <w:highlight w:val="none"/>
        </w:rPr>
      </w:pPr>
      <w:r>
        <w:rPr>
          <w:rFonts w:hint="eastAsia"/>
          <w:color w:val="auto"/>
          <w:highlight w:val="none"/>
        </w:rPr>
        <w:t>项目名称：</w:t>
      </w:r>
      <w:r>
        <w:rPr>
          <w:rFonts w:hint="eastAsia"/>
          <w:color w:val="auto"/>
          <w:highlight w:val="none"/>
          <w:u w:val="single"/>
        </w:rPr>
        <w:t xml:space="preserve">                </w:t>
      </w:r>
      <w:r>
        <w:rPr>
          <w:rFonts w:hint="eastAsia"/>
          <w:color w:val="auto"/>
          <w:highlight w:val="none"/>
        </w:rPr>
        <w:t xml:space="preserve">  项目编号：</w:t>
      </w:r>
      <w:r>
        <w:rPr>
          <w:rFonts w:hint="eastAsia"/>
          <w:color w:val="auto"/>
          <w:highlight w:val="none"/>
          <w:u w:val="single"/>
        </w:rPr>
        <w:t xml:space="preserve">              </w:t>
      </w:r>
      <w:r>
        <w:rPr>
          <w:rFonts w:hint="eastAsia"/>
          <w:color w:val="auto"/>
          <w:highlight w:val="none"/>
          <w:u w:val="none"/>
        </w:rPr>
        <w:t xml:space="preserve"> </w:t>
      </w:r>
      <w:r>
        <w:rPr>
          <w:rFonts w:hint="eastAsia"/>
          <w:color w:val="auto"/>
          <w:highlight w:val="none"/>
          <w:u w:val="none"/>
          <w:lang w:val="en-US" w:eastAsia="zh-CN"/>
        </w:rPr>
        <w:t xml:space="preserve">  </w:t>
      </w:r>
      <w:r>
        <w:rPr>
          <w:rFonts w:hint="eastAsia"/>
          <w:color w:val="auto"/>
          <w:szCs w:val="21"/>
          <w:highlight w:val="none"/>
          <w:u w:val="single"/>
        </w:rPr>
        <w:t xml:space="preserve">标包：  </w:t>
      </w:r>
    </w:p>
    <w:tbl>
      <w:tblPr>
        <w:tblStyle w:val="38"/>
        <w:tblW w:w="8506"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1"/>
        <w:gridCol w:w="1701"/>
        <w:gridCol w:w="2126"/>
        <w:gridCol w:w="2694"/>
        <w:gridCol w:w="1134"/>
      </w:tblGrid>
      <w:tr w14:paraId="061543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14:paraId="7C479A1F">
            <w:pPr>
              <w:widowControl/>
              <w:snapToGrid w:val="0"/>
              <w:spacing w:before="156"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序号</w:t>
            </w:r>
          </w:p>
        </w:tc>
        <w:tc>
          <w:tcPr>
            <w:tcW w:w="1701" w:type="dxa"/>
            <w:vAlign w:val="center"/>
          </w:tcPr>
          <w:p w14:paraId="19320F51">
            <w:pPr>
              <w:widowControl/>
              <w:snapToGrid w:val="0"/>
              <w:spacing w:before="156"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竞争性谈判文件条目号</w:t>
            </w:r>
          </w:p>
        </w:tc>
        <w:tc>
          <w:tcPr>
            <w:tcW w:w="2126" w:type="dxa"/>
            <w:vAlign w:val="center"/>
          </w:tcPr>
          <w:p w14:paraId="3721754C">
            <w:pPr>
              <w:widowControl/>
              <w:snapToGrid w:val="0"/>
              <w:spacing w:before="156"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竞争性谈判文件</w:t>
            </w:r>
            <w:r>
              <w:rPr>
                <w:rFonts w:hint="eastAsia" w:ascii="宋体" w:hAnsi="宋体" w:cs="宋体"/>
                <w:color w:val="auto"/>
                <w:szCs w:val="21"/>
                <w:highlight w:val="none"/>
              </w:rPr>
              <w:t>“</w:t>
            </w:r>
            <w:r>
              <w:rPr>
                <w:rFonts w:eastAsia="黑体"/>
                <w:color w:val="auto"/>
                <w:sz w:val="32"/>
                <w:szCs w:val="32"/>
                <w:highlight w:val="none"/>
              </w:rPr>
              <w:sym w:font="Wingdings" w:char="00AB"/>
            </w:r>
            <w:r>
              <w:rPr>
                <w:rFonts w:hint="eastAsia" w:ascii="宋体" w:hAnsi="宋体" w:cs="宋体"/>
                <w:color w:val="auto"/>
                <w:szCs w:val="21"/>
                <w:highlight w:val="none"/>
              </w:rPr>
              <w:t>”</w:t>
            </w:r>
            <w:r>
              <w:rPr>
                <w:rFonts w:hint="eastAsia" w:ascii="宋体" w:hAnsi="宋体"/>
                <w:color w:val="auto"/>
                <w:kern w:val="0"/>
                <w:szCs w:val="21"/>
                <w:highlight w:val="none"/>
              </w:rPr>
              <w:t>条款</w:t>
            </w:r>
          </w:p>
        </w:tc>
        <w:tc>
          <w:tcPr>
            <w:tcW w:w="2694" w:type="dxa"/>
            <w:vAlign w:val="center"/>
          </w:tcPr>
          <w:p w14:paraId="4BE0A006">
            <w:pPr>
              <w:widowControl/>
              <w:snapToGrid w:val="0"/>
              <w:spacing w:before="156" w:beforeLines="50"/>
              <w:jc w:val="center"/>
              <w:rPr>
                <w:rFonts w:ascii="宋体" w:hAnsi="宋体"/>
                <w:color w:val="auto"/>
                <w:kern w:val="0"/>
                <w:szCs w:val="21"/>
                <w:highlight w:val="none"/>
              </w:rPr>
            </w:pPr>
            <w:r>
              <w:rPr>
                <w:rFonts w:hint="eastAsia" w:ascii="宋体" w:hAnsi="宋体"/>
                <w:color w:val="auto"/>
                <w:kern w:val="0"/>
                <w:szCs w:val="21"/>
                <w:highlight w:val="none"/>
              </w:rPr>
              <w:t>竞争性谈判响应文件偏离情况</w:t>
            </w:r>
          </w:p>
          <w:p w14:paraId="2A22BABD">
            <w:pPr>
              <w:widowControl/>
              <w:snapToGrid w:val="0"/>
              <w:spacing w:before="156"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（正偏离/负偏离/无偏离）</w:t>
            </w:r>
          </w:p>
        </w:tc>
        <w:tc>
          <w:tcPr>
            <w:tcW w:w="1134" w:type="dxa"/>
            <w:vAlign w:val="center"/>
          </w:tcPr>
          <w:p w14:paraId="49748C95">
            <w:pPr>
              <w:widowControl/>
              <w:snapToGrid w:val="0"/>
              <w:spacing w:before="156" w:beforeLines="50"/>
              <w:jc w:val="center"/>
              <w:rPr>
                <w:rFonts w:ascii="宋体" w:hAnsi="宋体"/>
                <w:color w:val="auto"/>
                <w:kern w:val="0"/>
                <w:szCs w:val="21"/>
                <w:highlight w:val="none"/>
              </w:rPr>
            </w:pPr>
            <w:r>
              <w:rPr>
                <w:rFonts w:hint="eastAsia" w:ascii="宋体" w:hAnsi="宋体"/>
                <w:color w:val="auto"/>
                <w:kern w:val="0"/>
                <w:szCs w:val="21"/>
                <w:highlight w:val="none"/>
              </w:rPr>
              <w:t>说明</w:t>
            </w:r>
          </w:p>
        </w:tc>
      </w:tr>
      <w:tr w14:paraId="33C30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7" w:hRule="atLeast"/>
        </w:trPr>
        <w:tc>
          <w:tcPr>
            <w:tcW w:w="851" w:type="dxa"/>
            <w:vAlign w:val="center"/>
          </w:tcPr>
          <w:p w14:paraId="52CFD65D">
            <w:pPr>
              <w:widowControl/>
              <w:snapToGrid w:val="0"/>
              <w:spacing w:before="156" w:beforeLines="50" w:line="360" w:lineRule="auto"/>
              <w:jc w:val="center"/>
              <w:rPr>
                <w:rFonts w:ascii="宋体" w:hAnsi="宋体"/>
                <w:color w:val="auto"/>
                <w:kern w:val="0"/>
                <w:szCs w:val="21"/>
                <w:highlight w:val="none"/>
              </w:rPr>
            </w:pPr>
          </w:p>
        </w:tc>
        <w:tc>
          <w:tcPr>
            <w:tcW w:w="1701" w:type="dxa"/>
            <w:vAlign w:val="center"/>
          </w:tcPr>
          <w:p w14:paraId="53D37104">
            <w:pPr>
              <w:widowControl/>
              <w:snapToGrid w:val="0"/>
              <w:spacing w:before="156" w:beforeLines="50" w:line="360" w:lineRule="auto"/>
              <w:jc w:val="center"/>
              <w:rPr>
                <w:rFonts w:ascii="宋体" w:hAnsi="宋体"/>
                <w:color w:val="auto"/>
                <w:kern w:val="0"/>
                <w:szCs w:val="21"/>
                <w:highlight w:val="none"/>
              </w:rPr>
            </w:pPr>
          </w:p>
        </w:tc>
        <w:tc>
          <w:tcPr>
            <w:tcW w:w="2126" w:type="dxa"/>
            <w:vAlign w:val="center"/>
          </w:tcPr>
          <w:p w14:paraId="0A491373">
            <w:pPr>
              <w:widowControl/>
              <w:snapToGrid w:val="0"/>
              <w:spacing w:before="156" w:beforeLines="50" w:line="360" w:lineRule="auto"/>
              <w:jc w:val="center"/>
              <w:rPr>
                <w:rFonts w:ascii="宋体" w:hAnsi="宋体"/>
                <w:color w:val="auto"/>
                <w:kern w:val="0"/>
                <w:szCs w:val="21"/>
                <w:highlight w:val="none"/>
              </w:rPr>
            </w:pPr>
          </w:p>
        </w:tc>
        <w:tc>
          <w:tcPr>
            <w:tcW w:w="2694" w:type="dxa"/>
            <w:vAlign w:val="center"/>
          </w:tcPr>
          <w:p w14:paraId="2E7FD36C">
            <w:pPr>
              <w:widowControl/>
              <w:snapToGrid w:val="0"/>
              <w:spacing w:before="156" w:beforeLines="50"/>
              <w:jc w:val="center"/>
              <w:rPr>
                <w:rFonts w:ascii="宋体" w:hAnsi="宋体"/>
                <w:color w:val="auto"/>
                <w:kern w:val="0"/>
                <w:szCs w:val="21"/>
                <w:highlight w:val="none"/>
              </w:rPr>
            </w:pPr>
          </w:p>
        </w:tc>
        <w:tc>
          <w:tcPr>
            <w:tcW w:w="1134" w:type="dxa"/>
            <w:vAlign w:val="center"/>
          </w:tcPr>
          <w:p w14:paraId="78AB3F1F">
            <w:pPr>
              <w:widowControl/>
              <w:snapToGrid w:val="0"/>
              <w:spacing w:before="156" w:beforeLines="50"/>
              <w:jc w:val="center"/>
              <w:rPr>
                <w:rFonts w:ascii="宋体" w:hAnsi="宋体"/>
                <w:color w:val="auto"/>
                <w:kern w:val="0"/>
                <w:szCs w:val="21"/>
                <w:highlight w:val="none"/>
              </w:rPr>
            </w:pPr>
          </w:p>
        </w:tc>
      </w:tr>
      <w:tr w14:paraId="1197CE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7" w:hRule="atLeast"/>
        </w:trPr>
        <w:tc>
          <w:tcPr>
            <w:tcW w:w="851" w:type="dxa"/>
            <w:vAlign w:val="center"/>
          </w:tcPr>
          <w:p w14:paraId="768C5D46">
            <w:pPr>
              <w:widowControl/>
              <w:snapToGrid w:val="0"/>
              <w:spacing w:before="156" w:beforeLines="50" w:line="360" w:lineRule="auto"/>
              <w:jc w:val="center"/>
              <w:rPr>
                <w:rFonts w:ascii="宋体" w:hAnsi="宋体"/>
                <w:color w:val="auto"/>
                <w:kern w:val="0"/>
                <w:szCs w:val="21"/>
                <w:highlight w:val="none"/>
              </w:rPr>
            </w:pPr>
          </w:p>
        </w:tc>
        <w:tc>
          <w:tcPr>
            <w:tcW w:w="1701" w:type="dxa"/>
            <w:vAlign w:val="center"/>
          </w:tcPr>
          <w:p w14:paraId="5F0488CC">
            <w:pPr>
              <w:widowControl/>
              <w:snapToGrid w:val="0"/>
              <w:spacing w:before="156" w:beforeLines="50" w:line="360" w:lineRule="auto"/>
              <w:jc w:val="center"/>
              <w:rPr>
                <w:rFonts w:ascii="宋体" w:hAnsi="宋体"/>
                <w:color w:val="auto"/>
                <w:kern w:val="0"/>
                <w:szCs w:val="21"/>
                <w:highlight w:val="none"/>
              </w:rPr>
            </w:pPr>
          </w:p>
        </w:tc>
        <w:tc>
          <w:tcPr>
            <w:tcW w:w="2126" w:type="dxa"/>
            <w:vAlign w:val="center"/>
          </w:tcPr>
          <w:p w14:paraId="1C6684FE">
            <w:pPr>
              <w:widowControl/>
              <w:snapToGrid w:val="0"/>
              <w:spacing w:before="156" w:beforeLines="50" w:line="360" w:lineRule="auto"/>
              <w:jc w:val="center"/>
              <w:rPr>
                <w:rFonts w:ascii="宋体" w:hAnsi="宋体"/>
                <w:color w:val="auto"/>
                <w:kern w:val="0"/>
                <w:szCs w:val="21"/>
                <w:highlight w:val="none"/>
              </w:rPr>
            </w:pPr>
          </w:p>
        </w:tc>
        <w:tc>
          <w:tcPr>
            <w:tcW w:w="2694" w:type="dxa"/>
            <w:vAlign w:val="center"/>
          </w:tcPr>
          <w:p w14:paraId="6A0CCD90">
            <w:pPr>
              <w:widowControl/>
              <w:snapToGrid w:val="0"/>
              <w:spacing w:before="156" w:beforeLines="50"/>
              <w:jc w:val="center"/>
              <w:rPr>
                <w:rFonts w:ascii="宋体" w:hAnsi="宋体"/>
                <w:color w:val="auto"/>
                <w:kern w:val="0"/>
                <w:szCs w:val="21"/>
                <w:highlight w:val="none"/>
              </w:rPr>
            </w:pPr>
          </w:p>
        </w:tc>
        <w:tc>
          <w:tcPr>
            <w:tcW w:w="1134" w:type="dxa"/>
            <w:vAlign w:val="center"/>
          </w:tcPr>
          <w:p w14:paraId="66AF4791">
            <w:pPr>
              <w:widowControl/>
              <w:snapToGrid w:val="0"/>
              <w:spacing w:before="156" w:beforeLines="50"/>
              <w:jc w:val="center"/>
              <w:rPr>
                <w:rFonts w:ascii="宋体" w:hAnsi="宋体"/>
                <w:color w:val="auto"/>
                <w:kern w:val="0"/>
                <w:szCs w:val="21"/>
                <w:highlight w:val="none"/>
              </w:rPr>
            </w:pPr>
          </w:p>
        </w:tc>
      </w:tr>
      <w:tr w14:paraId="69803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7" w:hRule="atLeast"/>
        </w:trPr>
        <w:tc>
          <w:tcPr>
            <w:tcW w:w="851" w:type="dxa"/>
            <w:vAlign w:val="center"/>
          </w:tcPr>
          <w:p w14:paraId="26C2C8F2">
            <w:pPr>
              <w:widowControl/>
              <w:snapToGrid w:val="0"/>
              <w:spacing w:before="156" w:beforeLines="50" w:line="360" w:lineRule="auto"/>
              <w:jc w:val="center"/>
              <w:rPr>
                <w:rFonts w:ascii="宋体" w:hAnsi="宋体"/>
                <w:color w:val="auto"/>
                <w:kern w:val="0"/>
                <w:szCs w:val="21"/>
                <w:highlight w:val="none"/>
              </w:rPr>
            </w:pPr>
          </w:p>
        </w:tc>
        <w:tc>
          <w:tcPr>
            <w:tcW w:w="1701" w:type="dxa"/>
            <w:vAlign w:val="center"/>
          </w:tcPr>
          <w:p w14:paraId="00506A29">
            <w:pPr>
              <w:widowControl/>
              <w:snapToGrid w:val="0"/>
              <w:spacing w:before="156" w:beforeLines="50" w:line="360" w:lineRule="auto"/>
              <w:jc w:val="center"/>
              <w:rPr>
                <w:rFonts w:ascii="宋体" w:hAnsi="宋体"/>
                <w:color w:val="auto"/>
                <w:kern w:val="0"/>
                <w:szCs w:val="21"/>
                <w:highlight w:val="none"/>
              </w:rPr>
            </w:pPr>
          </w:p>
        </w:tc>
        <w:tc>
          <w:tcPr>
            <w:tcW w:w="2126" w:type="dxa"/>
            <w:vAlign w:val="center"/>
          </w:tcPr>
          <w:p w14:paraId="3F42695F">
            <w:pPr>
              <w:widowControl/>
              <w:snapToGrid w:val="0"/>
              <w:spacing w:before="156" w:beforeLines="50" w:line="360" w:lineRule="auto"/>
              <w:jc w:val="center"/>
              <w:rPr>
                <w:rFonts w:ascii="宋体" w:hAnsi="宋体"/>
                <w:color w:val="auto"/>
                <w:kern w:val="0"/>
                <w:szCs w:val="21"/>
                <w:highlight w:val="none"/>
              </w:rPr>
            </w:pPr>
          </w:p>
        </w:tc>
        <w:tc>
          <w:tcPr>
            <w:tcW w:w="2694" w:type="dxa"/>
            <w:vAlign w:val="center"/>
          </w:tcPr>
          <w:p w14:paraId="4BE9BA97">
            <w:pPr>
              <w:widowControl/>
              <w:snapToGrid w:val="0"/>
              <w:spacing w:before="156" w:beforeLines="50"/>
              <w:jc w:val="center"/>
              <w:rPr>
                <w:rFonts w:ascii="宋体" w:hAnsi="宋体"/>
                <w:color w:val="auto"/>
                <w:kern w:val="0"/>
                <w:szCs w:val="21"/>
                <w:highlight w:val="none"/>
              </w:rPr>
            </w:pPr>
          </w:p>
        </w:tc>
        <w:tc>
          <w:tcPr>
            <w:tcW w:w="1134" w:type="dxa"/>
            <w:vAlign w:val="center"/>
          </w:tcPr>
          <w:p w14:paraId="596E99D4">
            <w:pPr>
              <w:widowControl/>
              <w:snapToGrid w:val="0"/>
              <w:spacing w:before="156" w:beforeLines="50"/>
              <w:jc w:val="center"/>
              <w:rPr>
                <w:rFonts w:ascii="宋体" w:hAnsi="宋体"/>
                <w:color w:val="auto"/>
                <w:kern w:val="0"/>
                <w:szCs w:val="21"/>
                <w:highlight w:val="none"/>
              </w:rPr>
            </w:pPr>
          </w:p>
        </w:tc>
      </w:tr>
    </w:tbl>
    <w:p w14:paraId="5FE96429">
      <w:pPr>
        <w:spacing w:line="440" w:lineRule="exact"/>
        <w:ind w:firstLine="420" w:firstLineChars="200"/>
        <w:jc w:val="left"/>
        <w:rPr>
          <w:rFonts w:ascii="宋体" w:hAnsi="宋体"/>
          <w:color w:val="auto"/>
          <w:szCs w:val="21"/>
          <w:highlight w:val="none"/>
        </w:rPr>
      </w:pPr>
      <w:r>
        <w:rPr>
          <w:rFonts w:hint="eastAsia" w:ascii="宋体" w:hAnsi="宋体"/>
          <w:color w:val="auto"/>
          <w:szCs w:val="21"/>
          <w:highlight w:val="none"/>
        </w:rPr>
        <w:t>注：1.响应人应当逐条对照竞争性谈判通知书</w:t>
      </w:r>
      <w:r>
        <w:rPr>
          <w:rFonts w:hint="eastAsia" w:ascii="宋体" w:hAnsi="宋体" w:cs="宋体"/>
          <w:color w:val="auto"/>
          <w:szCs w:val="21"/>
          <w:highlight w:val="none"/>
        </w:rPr>
        <w:t>“</w:t>
      </w:r>
      <w:r>
        <w:rPr>
          <w:rFonts w:eastAsia="黑体"/>
          <w:color w:val="auto"/>
          <w:sz w:val="32"/>
          <w:szCs w:val="32"/>
          <w:highlight w:val="none"/>
        </w:rPr>
        <w:sym w:font="Wingdings" w:char="00AB"/>
      </w:r>
      <w:r>
        <w:rPr>
          <w:rFonts w:hint="eastAsia" w:ascii="宋体" w:hAnsi="宋体" w:cs="宋体"/>
          <w:color w:val="auto"/>
          <w:szCs w:val="21"/>
          <w:highlight w:val="none"/>
        </w:rPr>
        <w:t>”</w:t>
      </w:r>
      <w:r>
        <w:rPr>
          <w:rFonts w:hint="eastAsia" w:ascii="宋体" w:hAnsi="宋体"/>
          <w:color w:val="auto"/>
          <w:kern w:val="0"/>
          <w:szCs w:val="21"/>
          <w:highlight w:val="none"/>
        </w:rPr>
        <w:t>条款内容</w:t>
      </w:r>
      <w:r>
        <w:rPr>
          <w:rFonts w:hint="eastAsia" w:ascii="宋体" w:hAnsi="宋体"/>
          <w:color w:val="auto"/>
          <w:szCs w:val="21"/>
          <w:highlight w:val="none"/>
        </w:rPr>
        <w:t>，就竞争性谈判响应文件对实质性条款存在的偏差与例外逐条做出说明；</w:t>
      </w:r>
    </w:p>
    <w:p w14:paraId="7AB34B22">
      <w:pPr>
        <w:spacing w:line="44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2.如竞争性谈判响应文件对合同条款无任何偏差，响应人仅需在本偏离表中填写“无偏离”即可。</w:t>
      </w:r>
    </w:p>
    <w:p w14:paraId="110A28C5">
      <w:pPr>
        <w:spacing w:after="120"/>
        <w:rPr>
          <w:rFonts w:ascii="宋体" w:hAnsi="宋体"/>
          <w:color w:val="auto"/>
          <w:szCs w:val="21"/>
          <w:highlight w:val="none"/>
        </w:rPr>
      </w:pPr>
    </w:p>
    <w:p w14:paraId="220C1930">
      <w:pPr>
        <w:spacing w:line="360" w:lineRule="auto"/>
        <w:ind w:firstLine="3675" w:firstLineChars="1750"/>
        <w:rPr>
          <w:color w:val="auto"/>
          <w:szCs w:val="21"/>
          <w:highlight w:val="none"/>
        </w:rPr>
      </w:pPr>
      <w:r>
        <w:rPr>
          <w:rFonts w:hint="eastAsia"/>
          <w:color w:val="auto"/>
          <w:szCs w:val="21"/>
          <w:highlight w:val="none"/>
        </w:rPr>
        <w:t>响应</w:t>
      </w:r>
      <w:r>
        <w:rPr>
          <w:color w:val="auto"/>
          <w:szCs w:val="21"/>
          <w:highlight w:val="none"/>
        </w:rPr>
        <w:t>人：</w:t>
      </w:r>
      <w:r>
        <w:rPr>
          <w:color w:val="auto"/>
          <w:szCs w:val="21"/>
          <w:highlight w:val="none"/>
          <w:u w:val="single"/>
        </w:rPr>
        <w:t xml:space="preserve">                      </w:t>
      </w:r>
      <w:r>
        <w:rPr>
          <w:color w:val="auto"/>
          <w:szCs w:val="21"/>
          <w:highlight w:val="none"/>
        </w:rPr>
        <w:t>（盖单位公章）</w:t>
      </w:r>
    </w:p>
    <w:p w14:paraId="5748CC9C">
      <w:pPr>
        <w:spacing w:line="360" w:lineRule="auto"/>
        <w:ind w:firstLine="3675" w:firstLineChars="1750"/>
        <w:rPr>
          <w:color w:val="auto"/>
          <w:szCs w:val="21"/>
          <w:highlight w:val="none"/>
        </w:rPr>
      </w:pPr>
      <w:r>
        <w:rPr>
          <w:color w:val="auto"/>
          <w:szCs w:val="21"/>
          <w:highlight w:val="none"/>
        </w:rPr>
        <w:t>法定代表人或其委托代理人：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（签字）</w:t>
      </w:r>
    </w:p>
    <w:p w14:paraId="03D58901">
      <w:pPr>
        <w:spacing w:line="480" w:lineRule="auto"/>
        <w:rPr>
          <w:rFonts w:ascii="黑体" w:hAnsi="宋体"/>
          <w:color w:val="auto"/>
          <w:highlight w:val="none"/>
        </w:rPr>
      </w:pPr>
      <w:r>
        <w:rPr>
          <w:rFonts w:hint="eastAsia"/>
          <w:color w:val="auto"/>
          <w:szCs w:val="21"/>
          <w:highlight w:val="none"/>
        </w:rPr>
        <w:t xml:space="preserve">                                     </w:t>
      </w:r>
      <w:r>
        <w:rPr>
          <w:rFonts w:hint="eastAsia"/>
          <w:color w:val="auto"/>
          <w:szCs w:val="21"/>
          <w:highlight w:val="none"/>
          <w:u w:val="single"/>
        </w:rPr>
        <w:t xml:space="preserve">        </w:t>
      </w:r>
      <w:r>
        <w:rPr>
          <w:color w:val="auto"/>
          <w:szCs w:val="21"/>
          <w:highlight w:val="none"/>
        </w:rPr>
        <w:t>年</w:t>
      </w:r>
      <w:r>
        <w:rPr>
          <w:rFonts w:hint="eastAsia"/>
          <w:color w:val="auto"/>
          <w:szCs w:val="21"/>
          <w:highlight w:val="none"/>
          <w:u w:val="single"/>
        </w:rPr>
        <w:t xml:space="preserve">        </w:t>
      </w:r>
      <w:r>
        <w:rPr>
          <w:color w:val="auto"/>
          <w:szCs w:val="21"/>
          <w:highlight w:val="none"/>
        </w:rPr>
        <w:t>月</w:t>
      </w:r>
      <w:r>
        <w:rPr>
          <w:rFonts w:hint="eastAsia"/>
          <w:color w:val="auto"/>
          <w:szCs w:val="21"/>
          <w:highlight w:val="none"/>
          <w:u w:val="single"/>
        </w:rPr>
        <w:t xml:space="preserve">      </w:t>
      </w:r>
      <w:r>
        <w:rPr>
          <w:rFonts w:hint="eastAsia"/>
          <w:color w:val="auto"/>
          <w:szCs w:val="21"/>
          <w:highlight w:val="none"/>
        </w:rPr>
        <w:t>日</w:t>
      </w:r>
    </w:p>
    <w:p w14:paraId="73253A1C">
      <w:pPr>
        <w:widowControl/>
        <w:jc w:val="left"/>
        <w:rPr>
          <w:color w:val="auto"/>
          <w:szCs w:val="21"/>
          <w:highlight w:val="none"/>
        </w:rPr>
      </w:pPr>
      <w:r>
        <w:rPr>
          <w:color w:val="auto"/>
          <w:szCs w:val="21"/>
          <w:highlight w:val="none"/>
        </w:rPr>
        <w:br w:type="page"/>
      </w:r>
    </w:p>
    <w:p w14:paraId="099EED99">
      <w:pPr>
        <w:pStyle w:val="6"/>
        <w:jc w:val="center"/>
        <w:rPr>
          <w:rFonts w:ascii="黑体"/>
          <w:color w:val="auto"/>
          <w:highlight w:val="none"/>
        </w:rPr>
      </w:pPr>
      <w:bookmarkStart w:id="202" w:name="_Toc32581"/>
      <w:r>
        <w:rPr>
          <w:rFonts w:hint="eastAsia" w:ascii="黑体"/>
          <w:color w:val="auto"/>
          <w:highlight w:val="none"/>
        </w:rPr>
        <w:t>九、</w:t>
      </w:r>
      <w:r>
        <w:rPr>
          <w:color w:val="auto"/>
          <w:highlight w:val="none"/>
        </w:rPr>
        <w:fldChar w:fldCharType="begin" w:fldLock="1"/>
      </w:r>
      <w:r>
        <w:rPr>
          <w:color w:val="auto"/>
          <w:highlight w:val="none"/>
        </w:rPr>
        <w:instrText xml:space="preserve"> HYPERLINK \l "_Toc338661813" </w:instrText>
      </w:r>
      <w:r>
        <w:rPr>
          <w:color w:val="auto"/>
          <w:highlight w:val="none"/>
        </w:rPr>
        <w:fldChar w:fldCharType="separate"/>
      </w:r>
      <w:r>
        <w:rPr>
          <w:rFonts w:hint="eastAsia" w:ascii="黑体"/>
          <w:b w:val="0"/>
          <w:color w:val="auto"/>
          <w:highlight w:val="none"/>
        </w:rPr>
        <w:t>技术条款偏离表</w:t>
      </w:r>
      <w:r>
        <w:rPr>
          <w:rFonts w:hint="eastAsia" w:ascii="黑体"/>
          <w:b w:val="0"/>
          <w:color w:val="auto"/>
          <w:highlight w:val="none"/>
        </w:rPr>
        <w:fldChar w:fldCharType="end"/>
      </w:r>
      <w:bookmarkEnd w:id="202"/>
    </w:p>
    <w:p w14:paraId="5F10ED73">
      <w:pPr>
        <w:rPr>
          <w:rFonts w:hint="default" w:eastAsia="宋体"/>
          <w:color w:val="auto"/>
          <w:highlight w:val="none"/>
          <w:lang w:val="en-US" w:eastAsia="zh-CN"/>
        </w:rPr>
      </w:pPr>
      <w:r>
        <w:rPr>
          <w:rFonts w:hint="eastAsia"/>
          <w:color w:val="auto"/>
          <w:highlight w:val="none"/>
        </w:rPr>
        <w:t>项目名称：</w:t>
      </w:r>
      <w:r>
        <w:rPr>
          <w:rFonts w:hint="eastAsia"/>
          <w:color w:val="auto"/>
          <w:highlight w:val="none"/>
          <w:u w:val="single"/>
        </w:rPr>
        <w:t xml:space="preserve">                </w:t>
      </w:r>
      <w:r>
        <w:rPr>
          <w:rFonts w:hint="eastAsia"/>
          <w:color w:val="auto"/>
          <w:highlight w:val="none"/>
        </w:rPr>
        <w:t xml:space="preserve">  项目编号：</w:t>
      </w:r>
      <w:r>
        <w:rPr>
          <w:rFonts w:hint="eastAsia"/>
          <w:color w:val="auto"/>
          <w:highlight w:val="none"/>
          <w:u w:val="single"/>
        </w:rPr>
        <w:t xml:space="preserve">               </w:t>
      </w:r>
      <w:r>
        <w:rPr>
          <w:rFonts w:hint="eastAsia"/>
          <w:color w:val="auto"/>
          <w:highlight w:val="none"/>
        </w:rPr>
        <w:t xml:space="preserve"> </w:t>
      </w:r>
      <w:r>
        <w:rPr>
          <w:rFonts w:hint="eastAsia"/>
          <w:color w:val="auto"/>
          <w:highlight w:val="none"/>
          <w:lang w:val="en-US" w:eastAsia="zh-CN"/>
        </w:rPr>
        <w:t xml:space="preserve">  </w:t>
      </w:r>
      <w:r>
        <w:rPr>
          <w:rFonts w:hint="eastAsia"/>
          <w:color w:val="auto"/>
          <w:szCs w:val="21"/>
          <w:highlight w:val="none"/>
          <w:u w:val="single"/>
        </w:rPr>
        <w:t xml:space="preserve">标包：  </w:t>
      </w:r>
    </w:p>
    <w:tbl>
      <w:tblPr>
        <w:tblStyle w:val="38"/>
        <w:tblW w:w="8506"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1"/>
        <w:gridCol w:w="1701"/>
        <w:gridCol w:w="2126"/>
        <w:gridCol w:w="2694"/>
        <w:gridCol w:w="1134"/>
      </w:tblGrid>
      <w:tr w14:paraId="79F90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14:paraId="771EB1F0">
            <w:pPr>
              <w:widowControl/>
              <w:snapToGrid w:val="0"/>
              <w:spacing w:before="156"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序号</w:t>
            </w:r>
          </w:p>
        </w:tc>
        <w:tc>
          <w:tcPr>
            <w:tcW w:w="1701" w:type="dxa"/>
            <w:vAlign w:val="center"/>
          </w:tcPr>
          <w:p w14:paraId="2DC0D3BB">
            <w:pPr>
              <w:widowControl/>
              <w:snapToGrid w:val="0"/>
              <w:spacing w:before="156"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竞争性谈判文件条目号</w:t>
            </w:r>
          </w:p>
        </w:tc>
        <w:tc>
          <w:tcPr>
            <w:tcW w:w="2126" w:type="dxa"/>
            <w:vAlign w:val="center"/>
          </w:tcPr>
          <w:p w14:paraId="6BA9FB82">
            <w:pPr>
              <w:widowControl/>
              <w:snapToGrid w:val="0"/>
              <w:spacing w:before="156"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竞争性谈判文件《用户需求书/技术规范书》的技术条款</w:t>
            </w:r>
          </w:p>
        </w:tc>
        <w:tc>
          <w:tcPr>
            <w:tcW w:w="2694" w:type="dxa"/>
            <w:vAlign w:val="center"/>
          </w:tcPr>
          <w:p w14:paraId="0CEAB1D8">
            <w:pPr>
              <w:widowControl/>
              <w:snapToGrid w:val="0"/>
              <w:spacing w:before="156" w:beforeLines="50"/>
              <w:jc w:val="center"/>
              <w:rPr>
                <w:rFonts w:ascii="宋体" w:hAnsi="宋体"/>
                <w:color w:val="auto"/>
                <w:kern w:val="0"/>
                <w:szCs w:val="21"/>
                <w:highlight w:val="none"/>
              </w:rPr>
            </w:pPr>
            <w:r>
              <w:rPr>
                <w:rFonts w:hint="eastAsia" w:ascii="宋体" w:hAnsi="宋体"/>
                <w:color w:val="auto"/>
                <w:kern w:val="0"/>
                <w:szCs w:val="21"/>
                <w:highlight w:val="none"/>
              </w:rPr>
              <w:t>竞争性谈判响应文件偏离情况</w:t>
            </w:r>
          </w:p>
          <w:p w14:paraId="713DA66A">
            <w:pPr>
              <w:widowControl/>
              <w:snapToGrid w:val="0"/>
              <w:spacing w:before="156"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（正偏离/负偏离/无偏离）</w:t>
            </w:r>
          </w:p>
        </w:tc>
        <w:tc>
          <w:tcPr>
            <w:tcW w:w="1134" w:type="dxa"/>
            <w:vAlign w:val="center"/>
          </w:tcPr>
          <w:p w14:paraId="3DBF8C1B">
            <w:pPr>
              <w:widowControl/>
              <w:snapToGrid w:val="0"/>
              <w:spacing w:before="156" w:beforeLines="50"/>
              <w:jc w:val="center"/>
              <w:rPr>
                <w:rFonts w:ascii="宋体" w:hAnsi="宋体"/>
                <w:color w:val="auto"/>
                <w:kern w:val="0"/>
                <w:szCs w:val="21"/>
                <w:highlight w:val="none"/>
              </w:rPr>
            </w:pPr>
            <w:r>
              <w:rPr>
                <w:rFonts w:hint="eastAsia" w:ascii="宋体" w:hAnsi="宋体"/>
                <w:color w:val="auto"/>
                <w:kern w:val="0"/>
                <w:szCs w:val="21"/>
                <w:highlight w:val="none"/>
              </w:rPr>
              <w:t>说明</w:t>
            </w:r>
          </w:p>
        </w:tc>
      </w:tr>
      <w:tr w14:paraId="4FC593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7" w:hRule="atLeast"/>
        </w:trPr>
        <w:tc>
          <w:tcPr>
            <w:tcW w:w="851" w:type="dxa"/>
            <w:vAlign w:val="center"/>
          </w:tcPr>
          <w:p w14:paraId="0083227E">
            <w:pPr>
              <w:widowControl/>
              <w:snapToGrid w:val="0"/>
              <w:spacing w:before="156" w:beforeLines="50" w:line="360" w:lineRule="auto"/>
              <w:jc w:val="center"/>
              <w:rPr>
                <w:rFonts w:ascii="宋体" w:hAnsi="宋体"/>
                <w:color w:val="auto"/>
                <w:kern w:val="0"/>
                <w:szCs w:val="21"/>
                <w:highlight w:val="none"/>
              </w:rPr>
            </w:pPr>
          </w:p>
        </w:tc>
        <w:tc>
          <w:tcPr>
            <w:tcW w:w="1701" w:type="dxa"/>
            <w:vAlign w:val="center"/>
          </w:tcPr>
          <w:p w14:paraId="77B1D412">
            <w:pPr>
              <w:widowControl/>
              <w:snapToGrid w:val="0"/>
              <w:spacing w:before="156" w:beforeLines="50" w:line="360" w:lineRule="auto"/>
              <w:jc w:val="center"/>
              <w:rPr>
                <w:rFonts w:ascii="宋体" w:hAnsi="宋体"/>
                <w:color w:val="auto"/>
                <w:kern w:val="0"/>
                <w:szCs w:val="21"/>
                <w:highlight w:val="none"/>
              </w:rPr>
            </w:pPr>
          </w:p>
        </w:tc>
        <w:tc>
          <w:tcPr>
            <w:tcW w:w="2126" w:type="dxa"/>
            <w:vAlign w:val="center"/>
          </w:tcPr>
          <w:p w14:paraId="61785FC3">
            <w:pPr>
              <w:widowControl/>
              <w:snapToGrid w:val="0"/>
              <w:spacing w:before="156" w:beforeLines="50" w:line="360" w:lineRule="auto"/>
              <w:jc w:val="center"/>
              <w:rPr>
                <w:rFonts w:ascii="宋体" w:hAnsi="宋体"/>
                <w:color w:val="auto"/>
                <w:kern w:val="0"/>
                <w:szCs w:val="21"/>
                <w:highlight w:val="none"/>
              </w:rPr>
            </w:pPr>
          </w:p>
        </w:tc>
        <w:tc>
          <w:tcPr>
            <w:tcW w:w="2694" w:type="dxa"/>
            <w:vAlign w:val="center"/>
          </w:tcPr>
          <w:p w14:paraId="71156FE4">
            <w:pPr>
              <w:widowControl/>
              <w:snapToGrid w:val="0"/>
              <w:spacing w:before="156" w:beforeLines="50"/>
              <w:jc w:val="center"/>
              <w:rPr>
                <w:rFonts w:ascii="宋体" w:hAnsi="宋体"/>
                <w:color w:val="auto"/>
                <w:kern w:val="0"/>
                <w:szCs w:val="21"/>
                <w:highlight w:val="none"/>
              </w:rPr>
            </w:pPr>
          </w:p>
        </w:tc>
        <w:tc>
          <w:tcPr>
            <w:tcW w:w="1134" w:type="dxa"/>
            <w:vAlign w:val="center"/>
          </w:tcPr>
          <w:p w14:paraId="2DD379D1">
            <w:pPr>
              <w:widowControl/>
              <w:snapToGrid w:val="0"/>
              <w:spacing w:before="156" w:beforeLines="50"/>
              <w:jc w:val="center"/>
              <w:rPr>
                <w:rFonts w:ascii="宋体" w:hAnsi="宋体"/>
                <w:color w:val="auto"/>
                <w:kern w:val="0"/>
                <w:szCs w:val="21"/>
                <w:highlight w:val="none"/>
              </w:rPr>
            </w:pPr>
          </w:p>
        </w:tc>
      </w:tr>
      <w:tr w14:paraId="3F915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7" w:hRule="atLeast"/>
        </w:trPr>
        <w:tc>
          <w:tcPr>
            <w:tcW w:w="851" w:type="dxa"/>
            <w:vAlign w:val="center"/>
          </w:tcPr>
          <w:p w14:paraId="76C4D7EE">
            <w:pPr>
              <w:widowControl/>
              <w:snapToGrid w:val="0"/>
              <w:spacing w:before="156" w:beforeLines="50" w:line="360" w:lineRule="auto"/>
              <w:jc w:val="center"/>
              <w:rPr>
                <w:rFonts w:ascii="宋体" w:hAnsi="宋体"/>
                <w:color w:val="auto"/>
                <w:kern w:val="0"/>
                <w:szCs w:val="21"/>
                <w:highlight w:val="none"/>
              </w:rPr>
            </w:pPr>
          </w:p>
        </w:tc>
        <w:tc>
          <w:tcPr>
            <w:tcW w:w="1701" w:type="dxa"/>
            <w:vAlign w:val="center"/>
          </w:tcPr>
          <w:p w14:paraId="48D1CEB8">
            <w:pPr>
              <w:widowControl/>
              <w:snapToGrid w:val="0"/>
              <w:spacing w:before="156" w:beforeLines="50" w:line="360" w:lineRule="auto"/>
              <w:jc w:val="center"/>
              <w:rPr>
                <w:rFonts w:ascii="宋体" w:hAnsi="宋体"/>
                <w:color w:val="auto"/>
                <w:kern w:val="0"/>
                <w:szCs w:val="21"/>
                <w:highlight w:val="none"/>
              </w:rPr>
            </w:pPr>
          </w:p>
        </w:tc>
        <w:tc>
          <w:tcPr>
            <w:tcW w:w="2126" w:type="dxa"/>
            <w:vAlign w:val="center"/>
          </w:tcPr>
          <w:p w14:paraId="4D96EC87">
            <w:pPr>
              <w:widowControl/>
              <w:snapToGrid w:val="0"/>
              <w:spacing w:before="156" w:beforeLines="50" w:line="360" w:lineRule="auto"/>
              <w:jc w:val="center"/>
              <w:rPr>
                <w:rFonts w:ascii="宋体" w:hAnsi="宋体"/>
                <w:color w:val="auto"/>
                <w:kern w:val="0"/>
                <w:szCs w:val="21"/>
                <w:highlight w:val="none"/>
              </w:rPr>
            </w:pPr>
          </w:p>
        </w:tc>
        <w:tc>
          <w:tcPr>
            <w:tcW w:w="2694" w:type="dxa"/>
            <w:vAlign w:val="center"/>
          </w:tcPr>
          <w:p w14:paraId="1538791C">
            <w:pPr>
              <w:widowControl/>
              <w:snapToGrid w:val="0"/>
              <w:spacing w:before="156" w:beforeLines="50"/>
              <w:jc w:val="center"/>
              <w:rPr>
                <w:rFonts w:ascii="宋体" w:hAnsi="宋体"/>
                <w:color w:val="auto"/>
                <w:kern w:val="0"/>
                <w:szCs w:val="21"/>
                <w:highlight w:val="none"/>
              </w:rPr>
            </w:pPr>
          </w:p>
        </w:tc>
        <w:tc>
          <w:tcPr>
            <w:tcW w:w="1134" w:type="dxa"/>
            <w:vAlign w:val="center"/>
          </w:tcPr>
          <w:p w14:paraId="630895DE">
            <w:pPr>
              <w:widowControl/>
              <w:snapToGrid w:val="0"/>
              <w:spacing w:before="156" w:beforeLines="50"/>
              <w:jc w:val="center"/>
              <w:rPr>
                <w:rFonts w:ascii="宋体" w:hAnsi="宋体"/>
                <w:color w:val="auto"/>
                <w:kern w:val="0"/>
                <w:szCs w:val="21"/>
                <w:highlight w:val="none"/>
              </w:rPr>
            </w:pPr>
          </w:p>
        </w:tc>
      </w:tr>
      <w:tr w14:paraId="102FD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7" w:hRule="atLeast"/>
        </w:trPr>
        <w:tc>
          <w:tcPr>
            <w:tcW w:w="851" w:type="dxa"/>
            <w:vAlign w:val="center"/>
          </w:tcPr>
          <w:p w14:paraId="51DBCCEC">
            <w:pPr>
              <w:widowControl/>
              <w:snapToGrid w:val="0"/>
              <w:spacing w:before="156" w:beforeLines="50" w:line="360" w:lineRule="auto"/>
              <w:jc w:val="center"/>
              <w:rPr>
                <w:rFonts w:ascii="宋体" w:hAnsi="宋体"/>
                <w:color w:val="auto"/>
                <w:kern w:val="0"/>
                <w:szCs w:val="21"/>
                <w:highlight w:val="none"/>
              </w:rPr>
            </w:pPr>
          </w:p>
        </w:tc>
        <w:tc>
          <w:tcPr>
            <w:tcW w:w="1701" w:type="dxa"/>
            <w:vAlign w:val="center"/>
          </w:tcPr>
          <w:p w14:paraId="1F62298F">
            <w:pPr>
              <w:widowControl/>
              <w:snapToGrid w:val="0"/>
              <w:spacing w:before="156" w:beforeLines="50" w:line="360" w:lineRule="auto"/>
              <w:jc w:val="center"/>
              <w:rPr>
                <w:rFonts w:ascii="宋体" w:hAnsi="宋体"/>
                <w:color w:val="auto"/>
                <w:kern w:val="0"/>
                <w:szCs w:val="21"/>
                <w:highlight w:val="none"/>
              </w:rPr>
            </w:pPr>
          </w:p>
        </w:tc>
        <w:tc>
          <w:tcPr>
            <w:tcW w:w="2126" w:type="dxa"/>
            <w:vAlign w:val="center"/>
          </w:tcPr>
          <w:p w14:paraId="6815BC03">
            <w:pPr>
              <w:widowControl/>
              <w:snapToGrid w:val="0"/>
              <w:spacing w:before="156" w:beforeLines="50" w:line="360" w:lineRule="auto"/>
              <w:jc w:val="center"/>
              <w:rPr>
                <w:rFonts w:ascii="宋体" w:hAnsi="宋体"/>
                <w:color w:val="auto"/>
                <w:kern w:val="0"/>
                <w:szCs w:val="21"/>
                <w:highlight w:val="none"/>
              </w:rPr>
            </w:pPr>
          </w:p>
        </w:tc>
        <w:tc>
          <w:tcPr>
            <w:tcW w:w="2694" w:type="dxa"/>
            <w:vAlign w:val="center"/>
          </w:tcPr>
          <w:p w14:paraId="772CCD75">
            <w:pPr>
              <w:widowControl/>
              <w:snapToGrid w:val="0"/>
              <w:spacing w:before="156" w:beforeLines="50"/>
              <w:jc w:val="center"/>
              <w:rPr>
                <w:rFonts w:ascii="宋体" w:hAnsi="宋体"/>
                <w:color w:val="auto"/>
                <w:kern w:val="0"/>
                <w:szCs w:val="21"/>
                <w:highlight w:val="none"/>
              </w:rPr>
            </w:pPr>
          </w:p>
        </w:tc>
        <w:tc>
          <w:tcPr>
            <w:tcW w:w="1134" w:type="dxa"/>
            <w:vAlign w:val="center"/>
          </w:tcPr>
          <w:p w14:paraId="77A7DF7D">
            <w:pPr>
              <w:widowControl/>
              <w:snapToGrid w:val="0"/>
              <w:spacing w:before="156" w:beforeLines="50"/>
              <w:jc w:val="center"/>
              <w:rPr>
                <w:rFonts w:ascii="宋体" w:hAnsi="宋体"/>
                <w:color w:val="auto"/>
                <w:kern w:val="0"/>
                <w:szCs w:val="21"/>
                <w:highlight w:val="none"/>
              </w:rPr>
            </w:pPr>
          </w:p>
        </w:tc>
      </w:tr>
    </w:tbl>
    <w:p w14:paraId="3D242B6A">
      <w:pPr>
        <w:spacing w:line="440" w:lineRule="exact"/>
        <w:ind w:firstLine="420" w:firstLineChars="200"/>
        <w:jc w:val="left"/>
        <w:rPr>
          <w:rFonts w:ascii="宋体" w:hAnsi="宋体"/>
          <w:color w:val="auto"/>
          <w:szCs w:val="21"/>
          <w:highlight w:val="none"/>
        </w:rPr>
      </w:pPr>
      <w:r>
        <w:rPr>
          <w:rFonts w:hint="eastAsia" w:ascii="宋体" w:hAnsi="宋体"/>
          <w:color w:val="auto"/>
          <w:szCs w:val="21"/>
          <w:highlight w:val="none"/>
        </w:rPr>
        <w:t>注：1.响应人应当逐条对照</w:t>
      </w:r>
      <w:r>
        <w:rPr>
          <w:rFonts w:hint="eastAsia" w:ascii="宋体" w:hAnsi="宋体"/>
          <w:color w:val="auto"/>
          <w:kern w:val="0"/>
          <w:szCs w:val="21"/>
          <w:highlight w:val="none"/>
        </w:rPr>
        <w:t>竞争性谈判文件《用户需求书/技术规范书》的技术条款</w:t>
      </w:r>
      <w:r>
        <w:rPr>
          <w:rFonts w:hint="eastAsia" w:ascii="宋体" w:hAnsi="宋体"/>
          <w:color w:val="auto"/>
          <w:szCs w:val="21"/>
          <w:highlight w:val="none"/>
        </w:rPr>
        <w:t>，就竞争性谈判响应文件对技术条款存在的偏差与例外逐条做出说明；</w:t>
      </w:r>
    </w:p>
    <w:p w14:paraId="320911E6">
      <w:pPr>
        <w:spacing w:line="44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2.如竞争性谈判响应文件对技术条款无任何偏差，响应人仅需在本偏离表中填写“无偏离”即可。</w:t>
      </w:r>
    </w:p>
    <w:p w14:paraId="2274395F">
      <w:pPr>
        <w:spacing w:after="120"/>
        <w:rPr>
          <w:rFonts w:ascii="宋体" w:hAnsi="宋体"/>
          <w:color w:val="auto"/>
          <w:szCs w:val="21"/>
          <w:highlight w:val="none"/>
        </w:rPr>
      </w:pPr>
    </w:p>
    <w:p w14:paraId="236CA790">
      <w:pPr>
        <w:spacing w:line="360" w:lineRule="auto"/>
        <w:ind w:firstLine="3675" w:firstLineChars="1750"/>
        <w:rPr>
          <w:color w:val="auto"/>
          <w:szCs w:val="21"/>
          <w:highlight w:val="none"/>
        </w:rPr>
      </w:pPr>
      <w:r>
        <w:rPr>
          <w:rFonts w:hint="eastAsia"/>
          <w:color w:val="auto"/>
          <w:szCs w:val="21"/>
          <w:highlight w:val="none"/>
        </w:rPr>
        <w:t>响应</w:t>
      </w:r>
      <w:r>
        <w:rPr>
          <w:color w:val="auto"/>
          <w:szCs w:val="21"/>
          <w:highlight w:val="none"/>
        </w:rPr>
        <w:t>人：</w:t>
      </w:r>
      <w:r>
        <w:rPr>
          <w:color w:val="auto"/>
          <w:szCs w:val="21"/>
          <w:highlight w:val="none"/>
          <w:u w:val="single"/>
        </w:rPr>
        <w:t xml:space="preserve">                      </w:t>
      </w:r>
      <w:r>
        <w:rPr>
          <w:color w:val="auto"/>
          <w:szCs w:val="21"/>
          <w:highlight w:val="none"/>
        </w:rPr>
        <w:t>（盖单位公章）</w:t>
      </w:r>
    </w:p>
    <w:p w14:paraId="71130D89">
      <w:pPr>
        <w:spacing w:line="360" w:lineRule="auto"/>
        <w:ind w:firstLine="3675" w:firstLineChars="1750"/>
        <w:rPr>
          <w:color w:val="auto"/>
          <w:szCs w:val="21"/>
          <w:highlight w:val="none"/>
        </w:rPr>
      </w:pPr>
      <w:r>
        <w:rPr>
          <w:color w:val="auto"/>
          <w:szCs w:val="21"/>
          <w:highlight w:val="none"/>
        </w:rPr>
        <w:t>法定代表人或其委托代理人：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（签字）</w:t>
      </w:r>
    </w:p>
    <w:p w14:paraId="5E62CFBF">
      <w:pPr>
        <w:spacing w:line="480" w:lineRule="auto"/>
        <w:rPr>
          <w:rFonts w:ascii="黑体" w:hAnsi="宋体"/>
          <w:color w:val="auto"/>
          <w:highlight w:val="none"/>
        </w:rPr>
      </w:pPr>
      <w:r>
        <w:rPr>
          <w:rFonts w:hint="eastAsia"/>
          <w:color w:val="auto"/>
          <w:szCs w:val="21"/>
          <w:highlight w:val="none"/>
        </w:rPr>
        <w:t xml:space="preserve">                                     </w:t>
      </w:r>
      <w:r>
        <w:rPr>
          <w:rFonts w:hint="eastAsia"/>
          <w:color w:val="auto"/>
          <w:szCs w:val="21"/>
          <w:highlight w:val="none"/>
          <w:u w:val="single"/>
        </w:rPr>
        <w:t xml:space="preserve">        </w:t>
      </w:r>
      <w:r>
        <w:rPr>
          <w:color w:val="auto"/>
          <w:szCs w:val="21"/>
          <w:highlight w:val="none"/>
        </w:rPr>
        <w:t>年</w:t>
      </w:r>
      <w:r>
        <w:rPr>
          <w:rFonts w:hint="eastAsia"/>
          <w:color w:val="auto"/>
          <w:szCs w:val="21"/>
          <w:highlight w:val="none"/>
          <w:u w:val="single"/>
        </w:rPr>
        <w:t xml:space="preserve">        </w:t>
      </w:r>
      <w:r>
        <w:rPr>
          <w:color w:val="auto"/>
          <w:szCs w:val="21"/>
          <w:highlight w:val="none"/>
        </w:rPr>
        <w:t>月</w:t>
      </w:r>
      <w:r>
        <w:rPr>
          <w:rFonts w:hint="eastAsia"/>
          <w:color w:val="auto"/>
          <w:szCs w:val="21"/>
          <w:highlight w:val="none"/>
          <w:u w:val="single"/>
        </w:rPr>
        <w:t xml:space="preserve">      </w:t>
      </w:r>
      <w:r>
        <w:rPr>
          <w:rFonts w:hint="eastAsia"/>
          <w:color w:val="auto"/>
          <w:szCs w:val="21"/>
          <w:highlight w:val="none"/>
        </w:rPr>
        <w:t>日</w:t>
      </w:r>
    </w:p>
    <w:p w14:paraId="19963497">
      <w:pPr>
        <w:pStyle w:val="6"/>
        <w:spacing w:before="0"/>
        <w:jc w:val="center"/>
        <w:rPr>
          <w:color w:val="auto"/>
          <w:highlight w:val="none"/>
        </w:rPr>
        <w:sectPr>
          <w:pgSz w:w="11906" w:h="16838"/>
          <w:pgMar w:top="1418" w:right="1800" w:bottom="1440" w:left="1800" w:header="851" w:footer="992" w:gutter="0"/>
          <w:cols w:space="720" w:num="1"/>
          <w:docGrid w:type="lines" w:linePitch="312" w:charSpace="0"/>
        </w:sectPr>
      </w:pPr>
    </w:p>
    <w:p w14:paraId="6309D991">
      <w:pPr>
        <w:pStyle w:val="6"/>
        <w:jc w:val="center"/>
        <w:rPr>
          <w:color w:val="auto"/>
          <w:highlight w:val="none"/>
        </w:rPr>
      </w:pPr>
      <w:bookmarkStart w:id="203" w:name="_Toc152042596"/>
      <w:bookmarkStart w:id="204" w:name="_Toc246997115"/>
      <w:bookmarkStart w:id="205" w:name="_Toc486425440"/>
      <w:bookmarkStart w:id="206" w:name="_Toc179632827"/>
      <w:bookmarkStart w:id="207" w:name="_Toc338669161"/>
      <w:bookmarkStart w:id="208" w:name="_Toc16773"/>
      <w:bookmarkStart w:id="209" w:name="_Toc152045807"/>
      <w:bookmarkStart w:id="210" w:name="_Toc144974875"/>
      <w:bookmarkStart w:id="211" w:name="_Toc246996372"/>
      <w:bookmarkStart w:id="212" w:name="_Toc247085890"/>
      <w:r>
        <w:rPr>
          <w:rFonts w:hint="eastAsia"/>
          <w:color w:val="auto"/>
          <w:highlight w:val="none"/>
        </w:rPr>
        <w:t>十</w:t>
      </w:r>
      <w:r>
        <w:rPr>
          <w:color w:val="auto"/>
          <w:highlight w:val="none"/>
        </w:rPr>
        <w:t>、资格审查资料</w:t>
      </w:r>
      <w:bookmarkEnd w:id="203"/>
      <w:bookmarkEnd w:id="204"/>
      <w:bookmarkEnd w:id="205"/>
      <w:bookmarkEnd w:id="206"/>
      <w:bookmarkEnd w:id="207"/>
      <w:bookmarkEnd w:id="208"/>
      <w:bookmarkEnd w:id="209"/>
      <w:bookmarkEnd w:id="210"/>
      <w:bookmarkEnd w:id="211"/>
      <w:bookmarkEnd w:id="212"/>
    </w:p>
    <w:p w14:paraId="7DDBB80E">
      <w:pPr>
        <w:widowControl/>
        <w:jc w:val="left"/>
        <w:rPr>
          <w:color w:val="auto"/>
          <w:szCs w:val="21"/>
          <w:highlight w:val="none"/>
        </w:rPr>
      </w:pPr>
      <w:r>
        <w:rPr>
          <w:color w:val="auto"/>
          <w:szCs w:val="21"/>
          <w:highlight w:val="none"/>
        </w:rPr>
        <w:br w:type="page"/>
      </w:r>
    </w:p>
    <w:p w14:paraId="1562BE55">
      <w:pPr>
        <w:keepNext/>
        <w:keepLines/>
        <w:widowControl w:val="0"/>
        <w:spacing w:before="260" w:after="260" w:line="416" w:lineRule="auto"/>
        <w:jc w:val="center"/>
        <w:outlineLvl w:val="1"/>
        <w:rPr>
          <w:rFonts w:hint="eastAsia" w:ascii="Arial" w:hAnsi="Arial" w:eastAsia="黑体" w:cs="Times New Roman"/>
          <w:b/>
          <w:bCs/>
          <w:color w:val="auto"/>
          <w:kern w:val="2"/>
          <w:sz w:val="32"/>
          <w:szCs w:val="32"/>
          <w:highlight w:val="none"/>
          <w:lang w:val="en-US" w:eastAsia="zh-CN" w:bidi="ar-SA"/>
        </w:rPr>
      </w:pPr>
      <w:bookmarkStart w:id="213" w:name="_Toc5610"/>
      <w:r>
        <w:rPr>
          <w:rFonts w:hint="eastAsia" w:ascii="Arial" w:hAnsi="Arial" w:eastAsia="黑体" w:cs="Times New Roman"/>
          <w:b/>
          <w:bCs/>
          <w:color w:val="auto"/>
          <w:kern w:val="2"/>
          <w:sz w:val="32"/>
          <w:szCs w:val="32"/>
          <w:highlight w:val="none"/>
          <w:lang w:val="en-US" w:eastAsia="zh-CN" w:bidi="ar-SA"/>
        </w:rPr>
        <w:t>十一、不可撤销履约保函</w:t>
      </w:r>
      <w:bookmarkEnd w:id="213"/>
    </w:p>
    <w:p w14:paraId="0ACA7201">
      <w:pPr>
        <w:widowControl/>
        <w:adjustRightInd w:val="0"/>
        <w:snapToGrid w:val="0"/>
        <w:spacing w:line="360" w:lineRule="auto"/>
        <w:jc w:val="center"/>
        <w:rPr>
          <w:rFonts w:hint="eastAsia" w:ascii="宋体" w:hAnsi="宋体" w:cs="Times New Roman"/>
          <w:color w:val="auto"/>
          <w:kern w:val="0"/>
          <w:szCs w:val="22"/>
          <w:highlight w:val="none"/>
        </w:rPr>
      </w:pPr>
    </w:p>
    <w:p w14:paraId="3A70A9B2">
      <w:pPr>
        <w:widowControl/>
        <w:adjustRightInd w:val="0"/>
        <w:snapToGrid w:val="0"/>
        <w:spacing w:line="360" w:lineRule="auto"/>
        <w:jc w:val="center"/>
        <w:rPr>
          <w:rFonts w:ascii="宋体" w:hAnsi="宋体" w:cs="Times New Roman"/>
          <w:color w:val="auto"/>
          <w:kern w:val="0"/>
          <w:szCs w:val="22"/>
          <w:highlight w:val="none"/>
        </w:rPr>
      </w:pPr>
      <w:r>
        <w:rPr>
          <w:rFonts w:hint="eastAsia" w:ascii="宋体" w:hAnsi="宋体" w:cs="Times New Roman"/>
          <w:color w:val="auto"/>
          <w:kern w:val="0"/>
          <w:szCs w:val="22"/>
          <w:highlight w:val="none"/>
        </w:rPr>
        <w:t>银行编号：</w:t>
      </w:r>
    </w:p>
    <w:p w14:paraId="43D2AC35">
      <w:pPr>
        <w:widowControl/>
        <w:adjustRightInd w:val="0"/>
        <w:snapToGrid w:val="0"/>
        <w:spacing w:line="360" w:lineRule="auto"/>
        <w:jc w:val="left"/>
        <w:rPr>
          <w:rFonts w:ascii="宋体" w:hAnsi="宋体" w:cs="Times New Roman"/>
          <w:color w:val="auto"/>
          <w:kern w:val="0"/>
          <w:szCs w:val="22"/>
          <w:highlight w:val="none"/>
        </w:rPr>
      </w:pPr>
      <w:r>
        <w:rPr>
          <w:rFonts w:ascii="宋体" w:hAnsi="宋体" w:cs="Times New Roman"/>
          <w:color w:val="auto"/>
          <w:kern w:val="0"/>
          <w:szCs w:val="22"/>
          <w:highlight w:val="none"/>
        </w:rPr>
        <w:t>致：</w:t>
      </w:r>
      <w:r>
        <w:rPr>
          <w:rFonts w:hint="eastAsia" w:ascii="宋体" w:hAnsi="宋体" w:cs="Times New Roman"/>
          <w:color w:val="auto"/>
          <w:kern w:val="0"/>
          <w:szCs w:val="22"/>
          <w:highlight w:val="none"/>
          <w:u w:val="single"/>
        </w:rPr>
        <w:t xml:space="preserve">                        </w:t>
      </w:r>
      <w:r>
        <w:rPr>
          <w:rFonts w:hint="eastAsia" w:ascii="宋体" w:hAnsi="宋体" w:cs="Times New Roman"/>
          <w:color w:val="auto"/>
          <w:kern w:val="0"/>
          <w:szCs w:val="22"/>
          <w:highlight w:val="none"/>
        </w:rPr>
        <w:t>（</w:t>
      </w:r>
      <w:r>
        <w:rPr>
          <w:rFonts w:hint="eastAsia" w:ascii="Tahoma" w:hAnsi="Tahoma" w:cs="Times New Roman"/>
          <w:color w:val="auto"/>
          <w:kern w:val="0"/>
          <w:szCs w:val="22"/>
          <w:highlight w:val="none"/>
        </w:rPr>
        <w:t>甲方</w:t>
      </w:r>
      <w:r>
        <w:rPr>
          <w:rFonts w:hint="eastAsia" w:ascii="宋体" w:hAnsi="宋体" w:cs="Times New Roman"/>
          <w:color w:val="auto"/>
          <w:kern w:val="0"/>
          <w:szCs w:val="22"/>
          <w:highlight w:val="none"/>
        </w:rPr>
        <w:t>）</w:t>
      </w:r>
    </w:p>
    <w:p w14:paraId="1C28232E">
      <w:pPr>
        <w:widowControl/>
        <w:adjustRightInd w:val="0"/>
        <w:snapToGrid w:val="0"/>
        <w:spacing w:line="360" w:lineRule="auto"/>
        <w:ind w:firstLine="420" w:firstLineChars="200"/>
        <w:jc w:val="left"/>
        <w:rPr>
          <w:rFonts w:ascii="宋体" w:hAnsi="宋体" w:cs="Times New Roman"/>
          <w:color w:val="auto"/>
          <w:kern w:val="0"/>
          <w:szCs w:val="22"/>
          <w:highlight w:val="none"/>
        </w:rPr>
      </w:pPr>
      <w:r>
        <w:rPr>
          <w:rFonts w:hint="eastAsia" w:ascii="宋体" w:hAnsi="宋体" w:cs="Times New Roman"/>
          <w:color w:val="auto"/>
          <w:kern w:val="0"/>
          <w:szCs w:val="22"/>
          <w:highlight w:val="none"/>
        </w:rPr>
        <w:t>鉴于</w:t>
      </w:r>
      <w:r>
        <w:rPr>
          <w:rFonts w:hint="eastAsia" w:ascii="宋体" w:hAnsi="宋体" w:cs="Times New Roman"/>
          <w:color w:val="auto"/>
          <w:kern w:val="0"/>
          <w:szCs w:val="22"/>
          <w:highlight w:val="none"/>
          <w:u w:val="single"/>
        </w:rPr>
        <w:t xml:space="preserve">         （地址：          ，下称 “乙方” ）</w:t>
      </w:r>
      <w:r>
        <w:rPr>
          <w:rFonts w:hint="eastAsia" w:ascii="宋体" w:hAnsi="宋体" w:cs="Times New Roman"/>
          <w:color w:val="auto"/>
          <w:kern w:val="0"/>
          <w:szCs w:val="22"/>
          <w:highlight w:val="none"/>
        </w:rPr>
        <w:t>已保证按</w:t>
      </w:r>
      <w:r>
        <w:rPr>
          <w:rFonts w:hint="eastAsia" w:ascii="宋体" w:hAnsi="宋体" w:cs="Times New Roman"/>
          <w:color w:val="auto"/>
          <w:kern w:val="0"/>
          <w:szCs w:val="22"/>
          <w:highlight w:val="none"/>
          <w:u w:val="single"/>
        </w:rPr>
        <w:t xml:space="preserve">        承包合同书（合同编号：    ）</w:t>
      </w:r>
      <w:r>
        <w:rPr>
          <w:rFonts w:hint="eastAsia" w:ascii="宋体" w:hAnsi="宋体" w:cs="Times New Roman"/>
          <w:color w:val="auto"/>
          <w:kern w:val="0"/>
          <w:szCs w:val="22"/>
          <w:highlight w:val="none"/>
        </w:rPr>
        <w:t>中规定的义务履行合同。</w:t>
      </w:r>
    </w:p>
    <w:p w14:paraId="5072412D">
      <w:pPr>
        <w:widowControl/>
        <w:adjustRightInd w:val="0"/>
        <w:snapToGrid w:val="0"/>
        <w:spacing w:line="360" w:lineRule="auto"/>
        <w:ind w:firstLine="420" w:firstLineChars="200"/>
        <w:jc w:val="left"/>
        <w:rPr>
          <w:rFonts w:ascii="宋体" w:hAnsi="宋体" w:cs="Times New Roman"/>
          <w:color w:val="auto"/>
          <w:kern w:val="0"/>
          <w:szCs w:val="22"/>
          <w:highlight w:val="none"/>
        </w:rPr>
      </w:pPr>
      <w:r>
        <w:rPr>
          <w:rFonts w:hint="eastAsia" w:ascii="宋体" w:hAnsi="宋体" w:cs="Times New Roman"/>
          <w:color w:val="auto"/>
          <w:kern w:val="0"/>
          <w:szCs w:val="22"/>
          <w:highlight w:val="none"/>
        </w:rPr>
        <w:t>根据上述合同约定，乙方应向</w:t>
      </w:r>
      <w:r>
        <w:rPr>
          <w:rFonts w:hint="eastAsia" w:ascii="Tahoma" w:hAnsi="Tahoma" w:cs="Times New Roman"/>
          <w:color w:val="auto"/>
          <w:kern w:val="0"/>
          <w:szCs w:val="22"/>
          <w:highlight w:val="none"/>
        </w:rPr>
        <w:t>甲方</w:t>
      </w:r>
      <w:r>
        <w:rPr>
          <w:rFonts w:hint="eastAsia" w:ascii="宋体" w:hAnsi="宋体" w:cs="Times New Roman"/>
          <w:color w:val="auto"/>
          <w:kern w:val="0"/>
          <w:szCs w:val="22"/>
          <w:highlight w:val="none"/>
        </w:rPr>
        <w:t>提供一份金额为合同总价的10%即</w:t>
      </w:r>
      <w:r>
        <w:rPr>
          <w:rFonts w:hint="eastAsia" w:ascii="宋体" w:hAnsi="宋体" w:cs="Times New Roman"/>
          <w:color w:val="auto"/>
          <w:kern w:val="0"/>
          <w:szCs w:val="22"/>
          <w:highlight w:val="none"/>
          <w:u w:val="single"/>
        </w:rPr>
        <w:t>人民币      （RMB    元）</w:t>
      </w:r>
      <w:r>
        <w:rPr>
          <w:rFonts w:hint="eastAsia" w:ascii="宋体" w:hAnsi="宋体" w:cs="Times New Roman"/>
          <w:color w:val="auto"/>
          <w:kern w:val="0"/>
          <w:szCs w:val="22"/>
          <w:highlight w:val="none"/>
        </w:rPr>
        <w:t>的</w:t>
      </w:r>
      <w:r>
        <w:rPr>
          <w:rFonts w:hint="eastAsia" w:ascii="宋体" w:hAnsi="宋体" w:cs="Times New Roman"/>
          <w:bCs/>
          <w:color w:val="auto"/>
          <w:kern w:val="0"/>
          <w:szCs w:val="22"/>
          <w:highlight w:val="none"/>
        </w:rPr>
        <w:t>不可撤销</w:t>
      </w:r>
      <w:r>
        <w:rPr>
          <w:rFonts w:hint="eastAsia" w:ascii="宋体" w:hAnsi="宋体" w:cs="Times New Roman"/>
          <w:color w:val="auto"/>
          <w:kern w:val="0"/>
          <w:szCs w:val="22"/>
          <w:highlight w:val="none"/>
        </w:rPr>
        <w:t>银行履约保函，作为乙方履行上述合同的担保。</w:t>
      </w:r>
    </w:p>
    <w:p w14:paraId="66DF4A64">
      <w:pPr>
        <w:widowControl/>
        <w:adjustRightInd w:val="0"/>
        <w:snapToGrid w:val="0"/>
        <w:spacing w:line="360" w:lineRule="auto"/>
        <w:ind w:firstLine="420" w:firstLineChars="200"/>
        <w:jc w:val="left"/>
        <w:rPr>
          <w:rFonts w:ascii="宋体" w:hAnsi="宋体" w:cs="Times New Roman"/>
          <w:color w:val="auto"/>
          <w:kern w:val="0"/>
          <w:szCs w:val="22"/>
          <w:highlight w:val="none"/>
        </w:rPr>
      </w:pPr>
      <w:r>
        <w:rPr>
          <w:rFonts w:hint="eastAsia" w:ascii="宋体" w:hAnsi="宋体" w:cs="Times New Roman"/>
          <w:color w:val="auto"/>
          <w:kern w:val="0"/>
          <w:szCs w:val="22"/>
          <w:highlight w:val="none"/>
        </w:rPr>
        <w:t>我方</w:t>
      </w:r>
      <w:r>
        <w:rPr>
          <w:rFonts w:hint="eastAsia" w:ascii="宋体" w:hAnsi="宋体" w:cs="Times New Roman"/>
          <w:color w:val="auto"/>
          <w:kern w:val="0"/>
          <w:szCs w:val="22"/>
          <w:highlight w:val="none"/>
          <w:u w:val="single"/>
        </w:rPr>
        <w:t xml:space="preserve">            （银行名称）</w:t>
      </w:r>
      <w:r>
        <w:rPr>
          <w:rFonts w:hint="eastAsia" w:ascii="宋体" w:hAnsi="宋体" w:cs="Times New Roman"/>
          <w:color w:val="auto"/>
          <w:kern w:val="0"/>
          <w:szCs w:val="22"/>
          <w:highlight w:val="none"/>
        </w:rPr>
        <w:t>，受乙方的委托，不仅作为连带责任保证人而且作为主要的责任人，无条件和不可撤销地同意在</w:t>
      </w:r>
      <w:r>
        <w:rPr>
          <w:rFonts w:hint="eastAsia" w:ascii="Tahoma" w:hAnsi="Tahoma" w:cs="Times New Roman"/>
          <w:color w:val="auto"/>
          <w:kern w:val="0"/>
          <w:szCs w:val="22"/>
          <w:highlight w:val="none"/>
        </w:rPr>
        <w:t>甲方</w:t>
      </w:r>
      <w:r>
        <w:rPr>
          <w:rFonts w:hint="eastAsia" w:ascii="宋体" w:hAnsi="宋体" w:cs="Times New Roman"/>
          <w:color w:val="auto"/>
          <w:kern w:val="0"/>
          <w:szCs w:val="22"/>
          <w:highlight w:val="none"/>
        </w:rPr>
        <w:t>提出因乙方没有履行上述合同规定，而要求扣划保证金的书面要求后，7个工作日内为</w:t>
      </w:r>
      <w:r>
        <w:rPr>
          <w:rFonts w:hint="eastAsia" w:ascii="Tahoma" w:hAnsi="Tahoma" w:cs="Times New Roman"/>
          <w:color w:val="auto"/>
          <w:kern w:val="0"/>
          <w:szCs w:val="22"/>
          <w:highlight w:val="none"/>
        </w:rPr>
        <w:t>甲方</w:t>
      </w:r>
      <w:r>
        <w:rPr>
          <w:rFonts w:hint="eastAsia" w:ascii="宋体" w:hAnsi="宋体" w:cs="Times New Roman"/>
          <w:color w:val="auto"/>
          <w:kern w:val="0"/>
          <w:szCs w:val="22"/>
          <w:highlight w:val="none"/>
        </w:rPr>
        <w:t>扣划金额不超过</w:t>
      </w:r>
      <w:r>
        <w:rPr>
          <w:rFonts w:hint="eastAsia" w:ascii="宋体" w:hAnsi="宋体" w:cs="Times New Roman"/>
          <w:color w:val="auto"/>
          <w:kern w:val="0"/>
          <w:szCs w:val="22"/>
          <w:highlight w:val="none"/>
          <w:u w:val="single"/>
        </w:rPr>
        <w:t>人民币          （RMB       元）</w:t>
      </w:r>
      <w:r>
        <w:rPr>
          <w:rFonts w:hint="eastAsia" w:ascii="宋体" w:hAnsi="宋体" w:cs="Times New Roman"/>
          <w:color w:val="auto"/>
          <w:kern w:val="0"/>
          <w:szCs w:val="22"/>
          <w:highlight w:val="none"/>
        </w:rPr>
        <w:t>的保证金。</w:t>
      </w:r>
    </w:p>
    <w:p w14:paraId="297457C3">
      <w:pPr>
        <w:widowControl/>
        <w:adjustRightInd w:val="0"/>
        <w:snapToGrid w:val="0"/>
        <w:spacing w:line="360" w:lineRule="auto"/>
        <w:ind w:firstLine="420" w:firstLineChars="200"/>
        <w:jc w:val="left"/>
        <w:rPr>
          <w:rFonts w:ascii="Tahoma" w:hAnsi="Tahoma" w:cs="Times New Roman"/>
          <w:color w:val="auto"/>
          <w:kern w:val="0"/>
          <w:szCs w:val="22"/>
          <w:highlight w:val="none"/>
        </w:rPr>
      </w:pPr>
      <w:r>
        <w:rPr>
          <w:rFonts w:hint="eastAsia" w:ascii="宋体" w:hAnsi="宋体" w:cs="Times New Roman"/>
          <w:color w:val="auto"/>
          <w:kern w:val="0"/>
          <w:szCs w:val="22"/>
          <w:highlight w:val="none"/>
        </w:rPr>
        <w:t>我</w:t>
      </w:r>
      <w:r>
        <w:rPr>
          <w:rFonts w:hint="eastAsia" w:ascii="Tahoma" w:hAnsi="Tahoma" w:cs="Times New Roman"/>
          <w:color w:val="auto"/>
          <w:kern w:val="0"/>
          <w:szCs w:val="22"/>
          <w:highlight w:val="none"/>
        </w:rPr>
        <w:t>方还同意，任何甲方与乙方之间可能对合同条款的修改、规范或其他合同文件的变动补充，都不能免除我方按本保函所承担的责任。因此，有关上述变动、补充和修改无须通知我方。</w:t>
      </w:r>
    </w:p>
    <w:p w14:paraId="161ACDAE">
      <w:pPr>
        <w:widowControl/>
        <w:adjustRightInd w:val="0"/>
        <w:snapToGrid w:val="0"/>
        <w:spacing w:line="360" w:lineRule="auto"/>
        <w:ind w:firstLine="420" w:firstLineChars="200"/>
        <w:jc w:val="left"/>
        <w:rPr>
          <w:rFonts w:ascii="Tahoma" w:hAnsi="Tahoma" w:cs="Times New Roman"/>
          <w:color w:val="auto"/>
          <w:kern w:val="0"/>
          <w:szCs w:val="22"/>
          <w:highlight w:val="none"/>
        </w:rPr>
      </w:pPr>
      <w:r>
        <w:rPr>
          <w:rFonts w:hint="eastAsia" w:ascii="Tahoma" w:hAnsi="Tahoma" w:cs="Times New Roman"/>
          <w:color w:val="auto"/>
          <w:kern w:val="0"/>
          <w:szCs w:val="22"/>
          <w:highlight w:val="none"/>
        </w:rPr>
        <w:t>本保函从上述合同签订之日起至项目服务期结束验收合格并完成结算后，双方签字之日起7天内保持有效。</w:t>
      </w:r>
    </w:p>
    <w:p w14:paraId="602D17BF">
      <w:pPr>
        <w:widowControl/>
        <w:adjustRightInd w:val="0"/>
        <w:snapToGrid w:val="0"/>
        <w:spacing w:line="360" w:lineRule="auto"/>
        <w:ind w:firstLine="2824" w:firstLineChars="1345"/>
        <w:jc w:val="left"/>
        <w:rPr>
          <w:rFonts w:ascii="宋体" w:hAnsi="宋体" w:cs="Times New Roman"/>
          <w:color w:val="auto"/>
          <w:kern w:val="0"/>
          <w:szCs w:val="22"/>
          <w:highlight w:val="none"/>
        </w:rPr>
      </w:pPr>
    </w:p>
    <w:p w14:paraId="1F8E8DEF">
      <w:pPr>
        <w:widowControl/>
        <w:adjustRightInd w:val="0"/>
        <w:snapToGrid w:val="0"/>
        <w:spacing w:line="360" w:lineRule="auto"/>
        <w:ind w:firstLine="5040" w:firstLineChars="2400"/>
        <w:jc w:val="left"/>
        <w:rPr>
          <w:rFonts w:ascii="宋体" w:hAnsi="宋体" w:cs="Times New Roman"/>
          <w:color w:val="auto"/>
          <w:kern w:val="0"/>
          <w:szCs w:val="22"/>
          <w:highlight w:val="none"/>
        </w:rPr>
      </w:pPr>
      <w:r>
        <w:rPr>
          <w:rFonts w:hint="eastAsia" w:ascii="宋体" w:hAnsi="宋体" w:cs="Times New Roman"/>
          <w:color w:val="auto"/>
          <w:kern w:val="0"/>
          <w:szCs w:val="22"/>
          <w:highlight w:val="none"/>
        </w:rPr>
        <w:t>保证人：（盖章）</w:t>
      </w:r>
      <w:r>
        <w:rPr>
          <w:rFonts w:hint="eastAsia" w:ascii="宋体" w:hAnsi="宋体" w:cs="Times New Roman"/>
          <w:color w:val="auto"/>
          <w:kern w:val="0"/>
          <w:szCs w:val="22"/>
          <w:highlight w:val="none"/>
          <w:u w:val="single"/>
        </w:rPr>
        <w:t xml:space="preserve">                        </w:t>
      </w:r>
    </w:p>
    <w:p w14:paraId="1A7C9BE7">
      <w:pPr>
        <w:widowControl/>
        <w:adjustRightInd w:val="0"/>
        <w:snapToGrid w:val="0"/>
        <w:spacing w:line="360" w:lineRule="auto"/>
        <w:ind w:firstLine="5040" w:firstLineChars="2400"/>
        <w:jc w:val="left"/>
        <w:rPr>
          <w:rFonts w:ascii="宋体" w:hAnsi="宋体" w:cs="Times New Roman"/>
          <w:color w:val="auto"/>
          <w:kern w:val="0"/>
          <w:szCs w:val="22"/>
          <w:highlight w:val="none"/>
        </w:rPr>
      </w:pPr>
      <w:r>
        <w:rPr>
          <w:rFonts w:hint="eastAsia" w:ascii="宋体" w:hAnsi="宋体" w:cs="Times New Roman"/>
          <w:color w:val="auto"/>
          <w:kern w:val="0"/>
          <w:szCs w:val="22"/>
          <w:highlight w:val="none"/>
        </w:rPr>
        <w:t>负责人：（签字）</w:t>
      </w:r>
      <w:r>
        <w:rPr>
          <w:rFonts w:hint="eastAsia" w:ascii="宋体" w:hAnsi="宋体" w:cs="Times New Roman"/>
          <w:color w:val="auto"/>
          <w:kern w:val="0"/>
          <w:szCs w:val="22"/>
          <w:highlight w:val="none"/>
          <w:u w:val="single"/>
        </w:rPr>
        <w:t xml:space="preserve">                        </w:t>
      </w:r>
    </w:p>
    <w:p w14:paraId="38DD7534">
      <w:pPr>
        <w:widowControl/>
        <w:adjustRightInd w:val="0"/>
        <w:snapToGrid w:val="0"/>
        <w:spacing w:line="360" w:lineRule="auto"/>
        <w:ind w:firstLine="5040" w:firstLineChars="2400"/>
        <w:jc w:val="left"/>
        <w:rPr>
          <w:rFonts w:ascii="宋体" w:hAnsi="宋体" w:cs="Times New Roman"/>
          <w:color w:val="auto"/>
          <w:kern w:val="0"/>
          <w:szCs w:val="22"/>
          <w:highlight w:val="none"/>
        </w:rPr>
      </w:pPr>
      <w:r>
        <w:rPr>
          <w:rFonts w:hint="eastAsia" w:ascii="宋体" w:hAnsi="宋体" w:cs="Times New Roman"/>
          <w:color w:val="auto"/>
          <w:kern w:val="0"/>
          <w:szCs w:val="22"/>
          <w:highlight w:val="none"/>
        </w:rPr>
        <w:t>联系人：</w:t>
      </w:r>
      <w:r>
        <w:rPr>
          <w:rFonts w:hint="eastAsia" w:ascii="宋体" w:hAnsi="宋体" w:cs="Times New Roman"/>
          <w:color w:val="auto"/>
          <w:kern w:val="0"/>
          <w:szCs w:val="22"/>
          <w:highlight w:val="none"/>
          <w:u w:val="single"/>
        </w:rPr>
        <w:t xml:space="preserve">                               </w:t>
      </w:r>
      <w:r>
        <w:rPr>
          <w:rFonts w:hint="eastAsia" w:ascii="宋体" w:hAnsi="宋体" w:cs="Times New Roman"/>
          <w:color w:val="auto"/>
          <w:kern w:val="0"/>
          <w:szCs w:val="22"/>
          <w:highlight w:val="none"/>
        </w:rPr>
        <w:t xml:space="preserve">   </w:t>
      </w:r>
    </w:p>
    <w:p w14:paraId="6997409B">
      <w:pPr>
        <w:widowControl/>
        <w:adjustRightInd w:val="0"/>
        <w:snapToGrid w:val="0"/>
        <w:spacing w:line="360" w:lineRule="auto"/>
        <w:ind w:firstLine="5040" w:firstLineChars="2400"/>
        <w:jc w:val="left"/>
        <w:rPr>
          <w:rFonts w:ascii="宋体" w:hAnsi="宋体" w:cs="Times New Roman"/>
          <w:color w:val="auto"/>
          <w:kern w:val="0"/>
          <w:szCs w:val="22"/>
          <w:highlight w:val="none"/>
        </w:rPr>
      </w:pPr>
      <w:r>
        <w:rPr>
          <w:rFonts w:hint="eastAsia" w:ascii="宋体" w:hAnsi="宋体" w:cs="Times New Roman"/>
          <w:color w:val="auto"/>
          <w:kern w:val="0"/>
          <w:szCs w:val="22"/>
          <w:highlight w:val="none"/>
        </w:rPr>
        <w:t>联系电话：</w:t>
      </w:r>
      <w:r>
        <w:rPr>
          <w:rFonts w:hint="eastAsia" w:ascii="宋体" w:hAnsi="宋体" w:cs="Times New Roman"/>
          <w:color w:val="auto"/>
          <w:kern w:val="0"/>
          <w:szCs w:val="22"/>
          <w:highlight w:val="none"/>
          <w:u w:val="single"/>
        </w:rPr>
        <w:t xml:space="preserve">                             </w:t>
      </w:r>
    </w:p>
    <w:p w14:paraId="32435CF5">
      <w:pPr>
        <w:widowControl/>
        <w:adjustRightInd w:val="0"/>
        <w:snapToGrid w:val="0"/>
        <w:spacing w:line="360" w:lineRule="auto"/>
        <w:ind w:firstLine="5040" w:firstLineChars="2400"/>
        <w:jc w:val="left"/>
        <w:rPr>
          <w:rFonts w:ascii="宋体" w:hAnsi="宋体" w:cs="Times New Roman"/>
          <w:color w:val="auto"/>
          <w:kern w:val="0"/>
          <w:szCs w:val="22"/>
          <w:highlight w:val="none"/>
        </w:rPr>
      </w:pPr>
      <w:r>
        <w:rPr>
          <w:rFonts w:hint="eastAsia" w:ascii="宋体" w:hAnsi="宋体" w:cs="Times New Roman"/>
          <w:color w:val="auto"/>
          <w:kern w:val="0"/>
          <w:szCs w:val="22"/>
          <w:highlight w:val="none"/>
        </w:rPr>
        <w:t>日期：</w:t>
      </w:r>
      <w:r>
        <w:rPr>
          <w:rFonts w:hint="eastAsia" w:ascii="宋体" w:hAnsi="宋体" w:cs="Times New Roman"/>
          <w:color w:val="auto"/>
          <w:kern w:val="0"/>
          <w:szCs w:val="22"/>
          <w:highlight w:val="none"/>
          <w:u w:val="single"/>
        </w:rPr>
        <w:t xml:space="preserve">                               </w:t>
      </w:r>
    </w:p>
    <w:p w14:paraId="5FAECD09">
      <w:pPr>
        <w:adjustRightInd w:val="0"/>
        <w:snapToGrid w:val="0"/>
        <w:spacing w:line="360" w:lineRule="auto"/>
        <w:ind w:left="359" w:leftChars="171" w:firstLine="179" w:firstLineChars="85"/>
        <w:rPr>
          <w:rFonts w:hint="eastAsia" w:ascii="宋体" w:hAnsi="宋体" w:eastAsia="宋体" w:cstheme="minorBidi"/>
          <w:b/>
          <w:bCs/>
          <w:color w:val="auto"/>
          <w:sz w:val="21"/>
          <w:szCs w:val="24"/>
          <w:highlight w:val="none"/>
          <w:lang w:val="en-US" w:eastAsia="zh-CN" w:bidi="ar-SA"/>
        </w:rPr>
      </w:pPr>
    </w:p>
    <w:p w14:paraId="4699A4E1">
      <w:pPr>
        <w:adjustRightInd w:val="0"/>
        <w:snapToGrid w:val="0"/>
        <w:spacing w:line="360" w:lineRule="auto"/>
        <w:ind w:left="359" w:leftChars="171" w:firstLine="179" w:firstLineChars="85"/>
        <w:rPr>
          <w:rFonts w:hint="eastAsia"/>
          <w:color w:val="auto"/>
          <w:highlight w:val="none"/>
        </w:rPr>
        <w:sectPr>
          <w:pgSz w:w="11906" w:h="16838"/>
          <w:pgMar w:top="1440" w:right="1800" w:bottom="1440" w:left="1800" w:header="851" w:footer="992" w:gutter="0"/>
          <w:cols w:space="720" w:num="1"/>
          <w:docGrid w:type="lines" w:linePitch="312" w:charSpace="0"/>
        </w:sectPr>
      </w:pPr>
      <w:r>
        <w:rPr>
          <w:rFonts w:hint="eastAsia" w:ascii="宋体" w:hAnsi="宋体" w:eastAsia="宋体" w:cstheme="minorBidi"/>
          <w:b/>
          <w:bCs/>
          <w:color w:val="auto"/>
          <w:sz w:val="21"/>
          <w:szCs w:val="24"/>
          <w:highlight w:val="none"/>
          <w:lang w:val="en-US" w:eastAsia="zh-CN" w:bidi="ar-SA"/>
        </w:rPr>
        <w:t>说明：响应人在投标时不需提交正式保函，在响应文件中盖</w:t>
      </w:r>
      <w:r>
        <w:rPr>
          <w:rFonts w:hint="eastAsia" w:ascii="宋体" w:hAnsi="宋体" w:cstheme="minorBidi"/>
          <w:b/>
          <w:bCs/>
          <w:color w:val="auto"/>
          <w:sz w:val="21"/>
          <w:szCs w:val="24"/>
          <w:highlight w:val="none"/>
          <w:lang w:val="en-US" w:eastAsia="zh-CN" w:bidi="ar-SA"/>
        </w:rPr>
        <w:t>响应</w:t>
      </w:r>
      <w:r>
        <w:rPr>
          <w:rFonts w:hint="eastAsia" w:ascii="宋体" w:hAnsi="宋体" w:eastAsia="宋体" w:cstheme="minorBidi"/>
          <w:b/>
          <w:bCs/>
          <w:color w:val="auto"/>
          <w:sz w:val="21"/>
          <w:szCs w:val="24"/>
          <w:highlight w:val="none"/>
          <w:lang w:val="en-US" w:eastAsia="zh-CN" w:bidi="ar-SA"/>
        </w:rPr>
        <w:t>人公章确认保函格式即可，乙方</w:t>
      </w:r>
      <w:r>
        <w:rPr>
          <w:rFonts w:hint="eastAsia" w:ascii="宋体" w:hAnsi="宋体" w:eastAsia="宋体" w:cstheme="minorBidi"/>
          <w:b/>
          <w:bCs/>
          <w:color w:val="auto"/>
          <w:sz w:val="21"/>
          <w:szCs w:val="26"/>
          <w:highlight w:val="none"/>
          <w:lang w:val="en-US" w:eastAsia="zh-CN" w:bidi="ar-SA"/>
        </w:rPr>
        <w:t>在签订合同时</w:t>
      </w:r>
      <w:r>
        <w:rPr>
          <w:rFonts w:hint="eastAsia" w:ascii="宋体" w:hAnsi="宋体" w:eastAsia="宋体" w:cstheme="minorBidi"/>
          <w:b/>
          <w:bCs/>
          <w:color w:val="auto"/>
          <w:sz w:val="21"/>
          <w:szCs w:val="24"/>
          <w:highlight w:val="none"/>
          <w:lang w:val="en-US" w:eastAsia="zh-CN" w:bidi="ar-SA"/>
        </w:rPr>
        <w:t>提交正式保函。</w:t>
      </w:r>
    </w:p>
    <w:p w14:paraId="4F6FCE64">
      <w:pPr>
        <w:pStyle w:val="6"/>
        <w:jc w:val="center"/>
        <w:rPr>
          <w:color w:val="auto"/>
          <w:highlight w:val="none"/>
        </w:rPr>
      </w:pPr>
      <w:bookmarkStart w:id="214" w:name="_Toc3001"/>
      <w:r>
        <w:rPr>
          <w:rFonts w:hint="eastAsia"/>
          <w:color w:val="auto"/>
          <w:highlight w:val="none"/>
        </w:rPr>
        <w:t>十</w:t>
      </w:r>
      <w:r>
        <w:rPr>
          <w:rFonts w:hint="eastAsia"/>
          <w:color w:val="auto"/>
          <w:highlight w:val="none"/>
          <w:lang w:val="en-US" w:eastAsia="zh-CN"/>
        </w:rPr>
        <w:t>二</w:t>
      </w:r>
      <w:r>
        <w:rPr>
          <w:color w:val="auto"/>
          <w:highlight w:val="none"/>
        </w:rPr>
        <w:t>、</w:t>
      </w:r>
      <w:r>
        <w:rPr>
          <w:rFonts w:hint="eastAsia"/>
          <w:color w:val="auto"/>
          <w:highlight w:val="none"/>
        </w:rPr>
        <w:t>其他需要补充的</w:t>
      </w:r>
      <w:r>
        <w:rPr>
          <w:color w:val="auto"/>
          <w:highlight w:val="none"/>
        </w:rPr>
        <w:t>资料</w:t>
      </w:r>
      <w:bookmarkEnd w:id="214"/>
    </w:p>
    <w:p w14:paraId="52975886">
      <w:pPr>
        <w:widowControl/>
        <w:jc w:val="left"/>
        <w:rPr>
          <w:color w:val="auto"/>
          <w:szCs w:val="21"/>
          <w:highlight w:val="none"/>
        </w:rPr>
      </w:pPr>
      <w:r>
        <w:rPr>
          <w:color w:val="auto"/>
          <w:szCs w:val="21"/>
          <w:highlight w:val="none"/>
        </w:rPr>
        <w:br w:type="page"/>
      </w:r>
    </w:p>
    <w:p w14:paraId="6CD72BC8">
      <w:pPr>
        <w:pStyle w:val="6"/>
        <w:jc w:val="left"/>
        <w:rPr>
          <w:color w:val="auto"/>
          <w:highlight w:val="none"/>
        </w:rPr>
      </w:pPr>
      <w:bookmarkStart w:id="215" w:name="_Toc17415"/>
      <w:bookmarkStart w:id="216" w:name="_Toc486425443"/>
      <w:r>
        <w:rPr>
          <w:rFonts w:hint="eastAsia"/>
          <w:color w:val="auto"/>
          <w:highlight w:val="none"/>
        </w:rPr>
        <w:t>第二部分</w:t>
      </w:r>
      <w:r>
        <w:rPr>
          <w:color w:val="auto"/>
          <w:highlight w:val="none"/>
        </w:rPr>
        <w:t xml:space="preserve">  </w:t>
      </w:r>
      <w:r>
        <w:rPr>
          <w:rFonts w:hint="eastAsia"/>
          <w:color w:val="auto"/>
          <w:highlight w:val="none"/>
        </w:rPr>
        <w:t>经济部分</w:t>
      </w:r>
      <w:bookmarkEnd w:id="215"/>
      <w:bookmarkEnd w:id="216"/>
    </w:p>
    <w:p w14:paraId="16494B84">
      <w:pPr>
        <w:pStyle w:val="6"/>
        <w:spacing w:line="240" w:lineRule="auto"/>
        <w:rPr>
          <w:rFonts w:ascii="黑体" w:hAnsi="Times New Roman"/>
          <w:b w:val="0"/>
          <w:bCs w:val="0"/>
          <w:color w:val="auto"/>
          <w:sz w:val="28"/>
          <w:szCs w:val="28"/>
          <w:highlight w:val="none"/>
        </w:rPr>
      </w:pPr>
      <w:bookmarkStart w:id="217" w:name="_Toc338669163"/>
      <w:bookmarkStart w:id="218" w:name="_Toc13792"/>
      <w:bookmarkStart w:id="219" w:name="_Toc486425444"/>
      <w:r>
        <w:rPr>
          <w:rFonts w:hint="eastAsia" w:ascii="黑体" w:hAnsi="Times New Roman"/>
          <w:b w:val="0"/>
          <w:bCs w:val="0"/>
          <w:color w:val="auto"/>
          <w:sz w:val="28"/>
          <w:szCs w:val="28"/>
          <w:highlight w:val="none"/>
        </w:rPr>
        <w:t>一、报价一览表</w:t>
      </w:r>
      <w:bookmarkEnd w:id="217"/>
      <w:bookmarkEnd w:id="218"/>
      <w:bookmarkEnd w:id="219"/>
    </w:p>
    <w:p w14:paraId="235F13B2">
      <w:pPr>
        <w:rPr>
          <w:color w:val="auto"/>
          <w:highlight w:val="none"/>
        </w:rPr>
      </w:pPr>
    </w:p>
    <w:p w14:paraId="30EC8B24">
      <w:pPr>
        <w:rPr>
          <w:rFonts w:ascii="宋体" w:hAnsi="宋体"/>
          <w:color w:val="auto"/>
          <w:szCs w:val="21"/>
          <w:highlight w:val="none"/>
        </w:rPr>
      </w:pPr>
      <w:r>
        <w:rPr>
          <w:rFonts w:hint="eastAsia" w:ascii="宋体" w:hAnsi="宋体"/>
          <w:color w:val="auto"/>
          <w:szCs w:val="21"/>
          <w:highlight w:val="none"/>
        </w:rPr>
        <w:t>供应商名称：</w:t>
      </w:r>
    </w:p>
    <w:p w14:paraId="6A190EC1">
      <w:pPr>
        <w:rPr>
          <w:rFonts w:hint="eastAsia" w:ascii="宋体" w:hAnsi="宋体"/>
          <w:color w:val="auto"/>
          <w:szCs w:val="21"/>
          <w:highlight w:val="none"/>
        </w:rPr>
      </w:pPr>
      <w:r>
        <w:rPr>
          <w:rFonts w:hint="eastAsia" w:ascii="宋体" w:hAnsi="宋体"/>
          <w:color w:val="auto"/>
          <w:szCs w:val="21"/>
          <w:highlight w:val="none"/>
        </w:rPr>
        <w:t>项目编号：</w:t>
      </w:r>
    </w:p>
    <w:p w14:paraId="2205971A">
      <w:pP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标包：  </w:t>
      </w:r>
    </w:p>
    <w:tbl>
      <w:tblPr>
        <w:tblStyle w:val="3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8"/>
        <w:gridCol w:w="2928"/>
        <w:gridCol w:w="1602"/>
        <w:gridCol w:w="1974"/>
      </w:tblGrid>
      <w:tr w14:paraId="7B8DE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2018" w:type="dxa"/>
            <w:noWrap w:val="0"/>
            <w:vAlign w:val="center"/>
          </w:tcPr>
          <w:p w14:paraId="7C586153">
            <w:pPr>
              <w:spacing w:line="240" w:lineRule="auto"/>
              <w:jc w:val="center"/>
              <w:rPr>
                <w:rFonts w:ascii="宋体" w:hAnsi="宋体" w:cs="宋体"/>
                <w:color w:val="auto"/>
                <w:kern w:val="28"/>
                <w:szCs w:val="21"/>
                <w:highlight w:val="none"/>
              </w:rPr>
            </w:pPr>
            <w:r>
              <w:rPr>
                <w:rFonts w:hint="eastAsia" w:ascii="宋体" w:hAnsi="宋体"/>
                <w:color w:val="auto"/>
                <w:szCs w:val="21"/>
                <w:highlight w:val="none"/>
              </w:rPr>
              <w:t>项目名称</w:t>
            </w:r>
          </w:p>
        </w:tc>
        <w:tc>
          <w:tcPr>
            <w:tcW w:w="2928" w:type="dxa"/>
            <w:noWrap w:val="0"/>
            <w:vAlign w:val="center"/>
          </w:tcPr>
          <w:p w14:paraId="34B3E9C6">
            <w:pPr>
              <w:spacing w:line="240" w:lineRule="auto"/>
              <w:jc w:val="center"/>
              <w:rPr>
                <w:rFonts w:ascii="宋体" w:hAnsi="宋体" w:cs="宋体"/>
                <w:color w:val="auto"/>
                <w:kern w:val="28"/>
                <w:szCs w:val="21"/>
                <w:highlight w:val="none"/>
              </w:rPr>
            </w:pPr>
            <w:r>
              <w:rPr>
                <w:rFonts w:hint="eastAsia" w:ascii="宋体" w:hAnsi="宋体" w:cs="宋体"/>
                <w:color w:val="auto"/>
                <w:kern w:val="28"/>
                <w:szCs w:val="21"/>
                <w:highlight w:val="none"/>
              </w:rPr>
              <w:t>含税响应总价（元）</w:t>
            </w:r>
          </w:p>
        </w:tc>
        <w:tc>
          <w:tcPr>
            <w:tcW w:w="1602" w:type="dxa"/>
            <w:noWrap w:val="0"/>
            <w:vAlign w:val="center"/>
          </w:tcPr>
          <w:p w14:paraId="19E5AFC7">
            <w:pPr>
              <w:spacing w:line="240" w:lineRule="auto"/>
              <w:jc w:val="center"/>
              <w:rPr>
                <w:rFonts w:ascii="宋体" w:hAnsi="宋体" w:cs="宋体"/>
                <w:color w:val="auto"/>
                <w:kern w:val="28"/>
                <w:szCs w:val="21"/>
                <w:highlight w:val="none"/>
              </w:rPr>
            </w:pPr>
            <w:r>
              <w:rPr>
                <w:rFonts w:hint="eastAsia" w:ascii="宋体" w:hAnsi="宋体" w:cs="宋体"/>
                <w:color w:val="auto"/>
                <w:kern w:val="28"/>
                <w:szCs w:val="21"/>
                <w:highlight w:val="none"/>
              </w:rPr>
              <w:t>税率</w:t>
            </w:r>
          </w:p>
        </w:tc>
        <w:tc>
          <w:tcPr>
            <w:tcW w:w="1974" w:type="dxa"/>
            <w:noWrap w:val="0"/>
            <w:vAlign w:val="center"/>
          </w:tcPr>
          <w:p w14:paraId="384A57EE">
            <w:pPr>
              <w:spacing w:line="240" w:lineRule="auto"/>
              <w:jc w:val="center"/>
              <w:rPr>
                <w:rFonts w:ascii="宋体" w:hAnsi="宋体" w:cs="宋体"/>
                <w:color w:val="auto"/>
                <w:kern w:val="28"/>
                <w:szCs w:val="21"/>
                <w:highlight w:val="none"/>
              </w:rPr>
            </w:pPr>
            <w:r>
              <w:rPr>
                <w:rFonts w:hint="eastAsia" w:ascii="宋体" w:hAnsi="宋体" w:cs="宋体"/>
                <w:color w:val="auto"/>
                <w:kern w:val="28"/>
                <w:szCs w:val="21"/>
                <w:highlight w:val="none"/>
              </w:rPr>
              <w:t>备注</w:t>
            </w:r>
          </w:p>
        </w:tc>
      </w:tr>
      <w:tr w14:paraId="65CB3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jc w:val="center"/>
        </w:trPr>
        <w:tc>
          <w:tcPr>
            <w:tcW w:w="2018" w:type="dxa"/>
            <w:noWrap w:val="0"/>
            <w:vAlign w:val="center"/>
          </w:tcPr>
          <w:p w14:paraId="45EC2381">
            <w:pPr>
              <w:spacing w:line="240" w:lineRule="auto"/>
              <w:jc w:val="center"/>
              <w:rPr>
                <w:rFonts w:ascii="宋体" w:hAnsi="宋体" w:cs="宋体"/>
                <w:color w:val="auto"/>
                <w:szCs w:val="21"/>
                <w:highlight w:val="none"/>
              </w:rPr>
            </w:pPr>
          </w:p>
        </w:tc>
        <w:tc>
          <w:tcPr>
            <w:tcW w:w="2928" w:type="dxa"/>
            <w:noWrap w:val="0"/>
            <w:vAlign w:val="center"/>
          </w:tcPr>
          <w:p w14:paraId="2FABF313">
            <w:pPr>
              <w:rPr>
                <w:rFonts w:ascii="宋体" w:hAnsi="宋体" w:cs="宋体"/>
                <w:color w:val="auto"/>
                <w:szCs w:val="21"/>
                <w:highlight w:val="none"/>
                <w:u w:val="single"/>
              </w:rPr>
            </w:pPr>
            <w:r>
              <w:rPr>
                <w:rFonts w:hint="eastAsia" w:ascii="宋体" w:hAnsi="宋体" w:cs="宋体"/>
                <w:color w:val="auto"/>
                <w:szCs w:val="21"/>
                <w:highlight w:val="none"/>
              </w:rPr>
              <w:t>小写：</w:t>
            </w:r>
            <w:r>
              <w:rPr>
                <w:rFonts w:hint="eastAsia" w:ascii="宋体" w:hAnsi="宋体" w:cs="宋体"/>
                <w:color w:val="auto"/>
                <w:szCs w:val="21"/>
                <w:highlight w:val="none"/>
                <w:u w:val="single"/>
              </w:rPr>
              <w:t xml:space="preserve">                   </w:t>
            </w:r>
          </w:p>
          <w:p w14:paraId="1EEE7430">
            <w:pPr>
              <w:rPr>
                <w:rFonts w:ascii="宋体" w:hAnsi="宋体" w:cs="宋体"/>
                <w:color w:val="auto"/>
                <w:szCs w:val="21"/>
                <w:highlight w:val="none"/>
                <w:u w:val="single"/>
              </w:rPr>
            </w:pPr>
            <w:r>
              <w:rPr>
                <w:rFonts w:hint="eastAsia" w:ascii="宋体" w:hAnsi="宋体" w:cs="宋体"/>
                <w:color w:val="auto"/>
                <w:szCs w:val="21"/>
                <w:highlight w:val="none"/>
              </w:rPr>
              <w:t>大写：</w:t>
            </w:r>
            <w:r>
              <w:rPr>
                <w:rFonts w:hint="eastAsia" w:ascii="宋体" w:hAnsi="宋体" w:cs="宋体"/>
                <w:color w:val="auto"/>
                <w:szCs w:val="21"/>
                <w:highlight w:val="none"/>
                <w:u w:val="single"/>
              </w:rPr>
              <w:t xml:space="preserve">                   </w:t>
            </w:r>
          </w:p>
        </w:tc>
        <w:tc>
          <w:tcPr>
            <w:tcW w:w="1602" w:type="dxa"/>
            <w:noWrap w:val="0"/>
            <w:vAlign w:val="center"/>
          </w:tcPr>
          <w:p w14:paraId="1688E73F">
            <w:pPr>
              <w:pStyle w:val="110"/>
              <w:jc w:val="center"/>
              <w:rPr>
                <w:rFonts w:hAnsi="宋体"/>
                <w:color w:val="auto"/>
                <w:sz w:val="21"/>
                <w:szCs w:val="21"/>
                <w:highlight w:val="none"/>
              </w:rPr>
            </w:pPr>
          </w:p>
        </w:tc>
        <w:tc>
          <w:tcPr>
            <w:tcW w:w="1974" w:type="dxa"/>
            <w:noWrap w:val="0"/>
            <w:vAlign w:val="center"/>
          </w:tcPr>
          <w:p w14:paraId="0385C972">
            <w:pPr>
              <w:pStyle w:val="110"/>
              <w:jc w:val="center"/>
              <w:rPr>
                <w:rFonts w:hAnsi="宋体"/>
                <w:color w:val="auto"/>
                <w:sz w:val="21"/>
                <w:szCs w:val="21"/>
                <w:highlight w:val="none"/>
              </w:rPr>
            </w:pPr>
          </w:p>
        </w:tc>
      </w:tr>
    </w:tbl>
    <w:p w14:paraId="1F58E274">
      <w:pPr>
        <w:rPr>
          <w:rFonts w:ascii="宋体" w:hAnsi="宋体"/>
          <w:color w:val="auto"/>
          <w:szCs w:val="21"/>
          <w:highlight w:val="none"/>
        </w:rPr>
      </w:pPr>
    </w:p>
    <w:p w14:paraId="41D48DD3">
      <w:pPr>
        <w:ind w:firstLine="359" w:firstLineChars="171"/>
        <w:rPr>
          <w:rFonts w:ascii="宋体" w:hAnsi="宋体"/>
          <w:color w:val="auto"/>
          <w:szCs w:val="21"/>
          <w:highlight w:val="none"/>
        </w:rPr>
      </w:pPr>
    </w:p>
    <w:p w14:paraId="0E158683">
      <w:pPr>
        <w:ind w:firstLine="359" w:firstLineChars="171"/>
        <w:rPr>
          <w:rFonts w:ascii="宋体" w:hAnsi="宋体"/>
          <w:color w:val="auto"/>
          <w:szCs w:val="21"/>
          <w:highlight w:val="none"/>
        </w:rPr>
      </w:pPr>
      <w:r>
        <w:rPr>
          <w:rFonts w:hint="eastAsia" w:ascii="宋体" w:hAnsi="宋体"/>
          <w:color w:val="auto"/>
          <w:szCs w:val="21"/>
          <w:highlight w:val="none"/>
        </w:rPr>
        <w:t>供应商代表签字：</w:t>
      </w:r>
    </w:p>
    <w:p w14:paraId="149EC54B">
      <w:pPr>
        <w:ind w:firstLine="359" w:firstLineChars="171"/>
        <w:rPr>
          <w:rFonts w:ascii="宋体" w:hAnsi="宋体"/>
          <w:color w:val="auto"/>
          <w:szCs w:val="21"/>
          <w:highlight w:val="none"/>
        </w:rPr>
      </w:pPr>
      <w:r>
        <w:rPr>
          <w:rFonts w:hint="eastAsia" w:ascii="宋体" w:hAnsi="宋体"/>
          <w:color w:val="auto"/>
          <w:szCs w:val="21"/>
          <w:highlight w:val="none"/>
        </w:rPr>
        <w:t>供应商盖章：</w:t>
      </w:r>
    </w:p>
    <w:p w14:paraId="4BD6A0DE">
      <w:pPr>
        <w:ind w:firstLine="359" w:firstLineChars="171"/>
        <w:rPr>
          <w:rFonts w:ascii="宋体" w:hAnsi="宋体"/>
          <w:color w:val="auto"/>
          <w:szCs w:val="21"/>
          <w:highlight w:val="none"/>
        </w:rPr>
      </w:pPr>
      <w:r>
        <w:rPr>
          <w:rFonts w:hint="eastAsia" w:ascii="宋体" w:hAnsi="宋体"/>
          <w:color w:val="auto"/>
          <w:szCs w:val="21"/>
          <w:highlight w:val="none"/>
        </w:rPr>
        <w:t>日期：</w:t>
      </w:r>
    </w:p>
    <w:p w14:paraId="3300EEDD">
      <w:pPr>
        <w:ind w:firstLine="359" w:firstLineChars="171"/>
        <w:rPr>
          <w:rFonts w:ascii="宋体" w:hAnsi="宋体"/>
          <w:color w:val="auto"/>
          <w:szCs w:val="21"/>
          <w:highlight w:val="none"/>
        </w:rPr>
      </w:pPr>
    </w:p>
    <w:p w14:paraId="6E2D097A">
      <w:pPr>
        <w:ind w:left="391" w:hanging="390" w:hangingChars="186"/>
        <w:rPr>
          <w:rFonts w:ascii="宋体" w:hAnsi="宋体"/>
          <w:color w:val="auto"/>
          <w:szCs w:val="21"/>
          <w:highlight w:val="none"/>
        </w:rPr>
      </w:pPr>
      <w:r>
        <w:rPr>
          <w:rFonts w:hint="eastAsia" w:ascii="宋体" w:hAnsi="宋体"/>
          <w:color w:val="auto"/>
          <w:szCs w:val="21"/>
          <w:highlight w:val="none"/>
        </w:rPr>
        <w:t xml:space="preserve">    注：</w:t>
      </w:r>
    </w:p>
    <w:p w14:paraId="58C58A9E">
      <w:pPr>
        <w:ind w:firstLine="420" w:firstLineChars="200"/>
        <w:rPr>
          <w:rFonts w:ascii="宋体" w:hAnsi="宋体"/>
          <w:color w:val="auto"/>
          <w:szCs w:val="21"/>
          <w:highlight w:val="none"/>
        </w:rPr>
      </w:pPr>
      <w:r>
        <w:rPr>
          <w:rFonts w:hint="eastAsia" w:ascii="宋体" w:hAnsi="宋体"/>
          <w:color w:val="auto"/>
          <w:szCs w:val="21"/>
          <w:highlight w:val="none"/>
        </w:rPr>
        <w:t>1、响应总价栏须</w:t>
      </w:r>
      <w:r>
        <w:rPr>
          <w:rFonts w:ascii="宋体" w:hAnsi="宋体"/>
          <w:color w:val="auto"/>
          <w:szCs w:val="21"/>
          <w:highlight w:val="none"/>
        </w:rPr>
        <w:t>用</w:t>
      </w:r>
      <w:r>
        <w:rPr>
          <w:rFonts w:hint="eastAsia" w:ascii="宋体" w:hAnsi="宋体"/>
          <w:color w:val="auto"/>
          <w:szCs w:val="21"/>
          <w:highlight w:val="none"/>
        </w:rPr>
        <w:t>大写金额和小写金额两种方式</w:t>
      </w:r>
      <w:r>
        <w:rPr>
          <w:rFonts w:ascii="宋体" w:hAnsi="宋体"/>
          <w:color w:val="auto"/>
          <w:szCs w:val="21"/>
          <w:highlight w:val="none"/>
        </w:rPr>
        <w:t>表示的</w:t>
      </w:r>
      <w:r>
        <w:rPr>
          <w:rFonts w:hint="eastAsia" w:ascii="宋体" w:hAnsi="宋体"/>
          <w:color w:val="auto"/>
          <w:szCs w:val="21"/>
          <w:highlight w:val="none"/>
          <w:lang w:eastAsia="zh-CN"/>
        </w:rPr>
        <w:t>谈判</w:t>
      </w:r>
      <w:r>
        <w:rPr>
          <w:rFonts w:ascii="宋体" w:hAnsi="宋体"/>
          <w:color w:val="auto"/>
          <w:szCs w:val="21"/>
          <w:highlight w:val="none"/>
        </w:rPr>
        <w:t>总价</w:t>
      </w:r>
      <w:r>
        <w:rPr>
          <w:rFonts w:hint="eastAsia" w:ascii="宋体" w:hAnsi="宋体"/>
          <w:color w:val="auto"/>
          <w:szCs w:val="21"/>
          <w:highlight w:val="none"/>
        </w:rPr>
        <w:t>，报价保留小数点后两位。响应总价大小写不一致，以大写为准。响应总价必须准确唯一且应包含</w:t>
      </w:r>
      <w:r>
        <w:rPr>
          <w:rFonts w:hint="eastAsia" w:ascii="宋体" w:hAnsi="宋体"/>
          <w:color w:val="auto"/>
          <w:szCs w:val="21"/>
          <w:highlight w:val="none"/>
          <w:lang w:eastAsia="zh-CN"/>
        </w:rPr>
        <w:t>谈判</w:t>
      </w:r>
      <w:r>
        <w:rPr>
          <w:rFonts w:hint="eastAsia" w:ascii="宋体" w:hAnsi="宋体"/>
          <w:color w:val="auto"/>
          <w:szCs w:val="21"/>
          <w:highlight w:val="none"/>
        </w:rPr>
        <w:t>文件要求的所有费用。</w:t>
      </w:r>
    </w:p>
    <w:p w14:paraId="3C656593">
      <w:pPr>
        <w:ind w:firstLine="420" w:firstLineChars="200"/>
        <w:rPr>
          <w:rFonts w:hint="eastAsia" w:ascii="宋体" w:hAnsi="宋体"/>
          <w:color w:val="auto"/>
          <w:sz w:val="21"/>
          <w:szCs w:val="21"/>
          <w:highlight w:val="none"/>
        </w:rPr>
      </w:pPr>
      <w:r>
        <w:rPr>
          <w:rFonts w:hint="eastAsia" w:ascii="宋体" w:hAnsi="宋体"/>
          <w:color w:val="auto"/>
          <w:szCs w:val="21"/>
          <w:highlight w:val="none"/>
        </w:rPr>
        <w:t>2、温馨提示：未按</w:t>
      </w:r>
      <w:r>
        <w:rPr>
          <w:rFonts w:hint="eastAsia" w:ascii="宋体" w:hAnsi="宋体"/>
          <w:color w:val="auto"/>
          <w:szCs w:val="21"/>
          <w:highlight w:val="none"/>
          <w:lang w:eastAsia="zh-CN"/>
        </w:rPr>
        <w:t>谈判</w:t>
      </w:r>
      <w:r>
        <w:rPr>
          <w:rFonts w:hint="eastAsia" w:ascii="宋体" w:hAnsi="宋体"/>
          <w:color w:val="auto"/>
          <w:szCs w:val="21"/>
          <w:highlight w:val="none"/>
        </w:rPr>
        <w:t>文件要求报价、填写首次报价一览表是导致供应商废标的常见问题，请供应商仔细填写，认真核对。</w:t>
      </w:r>
    </w:p>
    <w:p w14:paraId="5A62D362">
      <w:pPr>
        <w:rPr>
          <w:color w:val="auto"/>
          <w:highlight w:val="none"/>
        </w:rPr>
      </w:pPr>
    </w:p>
    <w:p w14:paraId="45F0F827">
      <w:pPr>
        <w:rPr>
          <w:rFonts w:hint="eastAsia" w:ascii="黑体" w:hAnsi="Times New Roman"/>
          <w:b w:val="0"/>
          <w:bCs w:val="0"/>
          <w:color w:val="auto"/>
          <w:sz w:val="28"/>
          <w:szCs w:val="28"/>
          <w:highlight w:val="none"/>
        </w:rPr>
      </w:pPr>
      <w:bookmarkStart w:id="220" w:name="_Toc6200"/>
      <w:bookmarkStart w:id="221" w:name="_Toc338669164"/>
      <w:bookmarkStart w:id="222" w:name="_Toc486425445"/>
      <w:r>
        <w:rPr>
          <w:rFonts w:hint="eastAsia" w:ascii="黑体" w:hAnsi="Times New Roman"/>
          <w:b w:val="0"/>
          <w:bCs w:val="0"/>
          <w:color w:val="auto"/>
          <w:sz w:val="28"/>
          <w:szCs w:val="28"/>
          <w:highlight w:val="none"/>
        </w:rPr>
        <w:br w:type="page"/>
      </w:r>
    </w:p>
    <w:p w14:paraId="77A3543C">
      <w:pPr>
        <w:pStyle w:val="6"/>
        <w:spacing w:line="240" w:lineRule="auto"/>
        <w:rPr>
          <w:rFonts w:ascii="黑体" w:hAnsi="Times New Roman"/>
          <w:b w:val="0"/>
          <w:bCs w:val="0"/>
          <w:color w:val="auto"/>
          <w:sz w:val="28"/>
          <w:szCs w:val="28"/>
          <w:highlight w:val="none"/>
        </w:rPr>
      </w:pPr>
      <w:r>
        <w:rPr>
          <w:rFonts w:hint="eastAsia" w:ascii="黑体" w:hAnsi="Times New Roman"/>
          <w:b w:val="0"/>
          <w:bCs w:val="0"/>
          <w:color w:val="auto"/>
          <w:sz w:val="28"/>
          <w:szCs w:val="28"/>
          <w:highlight w:val="none"/>
        </w:rPr>
        <w:t>二、分项报价表</w:t>
      </w:r>
      <w:bookmarkEnd w:id="220"/>
      <w:bookmarkEnd w:id="221"/>
      <w:bookmarkEnd w:id="222"/>
    </w:p>
    <w:p w14:paraId="6CBFCF68">
      <w:pPr>
        <w:rPr>
          <w:color w:val="auto"/>
          <w:highlight w:val="none"/>
        </w:rPr>
      </w:pPr>
    </w:p>
    <w:p w14:paraId="597DA705">
      <w:pPr>
        <w:widowControl/>
        <w:adjustRightInd w:val="0"/>
        <w:snapToGrid w:val="0"/>
        <w:spacing w:line="360" w:lineRule="auto"/>
        <w:jc w:val="center"/>
        <w:rPr>
          <w:rFonts w:hint="eastAsia" w:ascii="黑体" w:hAnsi="Tahoma" w:eastAsia="黑体" w:cs="Times New Roman"/>
          <w:color w:val="auto"/>
          <w:kern w:val="0"/>
          <w:sz w:val="32"/>
          <w:szCs w:val="32"/>
          <w:highlight w:val="none"/>
          <w:lang w:val="en-US" w:eastAsia="zh-CN"/>
        </w:rPr>
      </w:pPr>
      <w:r>
        <w:rPr>
          <w:rFonts w:hint="eastAsia" w:ascii="黑体" w:hAnsi="Tahoma" w:eastAsia="黑体" w:cs="Times New Roman"/>
          <w:color w:val="auto"/>
          <w:kern w:val="0"/>
          <w:sz w:val="32"/>
          <w:szCs w:val="32"/>
          <w:highlight w:val="none"/>
          <w:lang w:val="en-US" w:eastAsia="zh-CN"/>
        </w:rPr>
        <w:t>分项报价明细表</w:t>
      </w:r>
    </w:p>
    <w:p w14:paraId="4651742A">
      <w:pPr>
        <w:spacing w:line="360" w:lineRule="auto"/>
        <w:rPr>
          <w:rFonts w:ascii="宋体" w:hAnsi="宋体"/>
          <w:color w:val="auto"/>
          <w:szCs w:val="21"/>
          <w:highlight w:val="none"/>
        </w:rPr>
      </w:pPr>
      <w:r>
        <w:rPr>
          <w:rFonts w:hint="eastAsia" w:ascii="宋体" w:hAnsi="宋体"/>
          <w:color w:val="auto"/>
          <w:szCs w:val="21"/>
          <w:highlight w:val="none"/>
        </w:rPr>
        <w:t>供应商名称：</w:t>
      </w:r>
    </w:p>
    <w:p w14:paraId="6B8A0D7D">
      <w:pPr>
        <w:spacing w:line="360" w:lineRule="auto"/>
        <w:jc w:val="both"/>
        <w:rPr>
          <w:rFonts w:hint="eastAsia" w:ascii="宋体" w:hAnsi="宋体"/>
          <w:color w:val="auto"/>
          <w:szCs w:val="21"/>
          <w:highlight w:val="none"/>
        </w:rPr>
      </w:pPr>
      <w:r>
        <w:rPr>
          <w:rFonts w:hint="eastAsia" w:ascii="宋体" w:hAnsi="宋体"/>
          <w:color w:val="auto"/>
          <w:szCs w:val="21"/>
          <w:highlight w:val="none"/>
        </w:rPr>
        <w:t>项目编号：</w:t>
      </w:r>
      <w:r>
        <w:rPr>
          <w:rFonts w:hint="eastAsia" w:ascii="宋体" w:hAnsi="宋体"/>
          <w:color w:val="auto"/>
          <w:szCs w:val="21"/>
          <w:highlight w:val="none"/>
        </w:rPr>
        <w:br w:type="textWrapping"/>
      </w:r>
      <w:r>
        <w:rPr>
          <w:rFonts w:hint="eastAsia" w:ascii="宋体" w:hAnsi="宋体" w:eastAsia="宋体" w:cs="Times New Roman"/>
          <w:color w:val="auto"/>
          <w:szCs w:val="21"/>
          <w:highlight w:val="none"/>
        </w:rPr>
        <w:t>标包：</w:t>
      </w:r>
    </w:p>
    <w:p w14:paraId="0817B45C">
      <w:pPr>
        <w:spacing w:line="360" w:lineRule="auto"/>
        <w:jc w:val="right"/>
        <w:rPr>
          <w:color w:val="auto"/>
          <w:highlight w:val="none"/>
        </w:rPr>
      </w:pPr>
      <w:r>
        <w:rPr>
          <w:rFonts w:hint="eastAsia" w:ascii="宋体" w:hAnsi="宋体"/>
          <w:color w:val="auto"/>
          <w:szCs w:val="21"/>
          <w:highlight w:val="none"/>
        </w:rPr>
        <w:t>[货币单位：人民币元]</w:t>
      </w:r>
    </w:p>
    <w:tbl>
      <w:tblPr>
        <w:tblStyle w:val="38"/>
        <w:tblW w:w="8336" w:type="dxa"/>
        <w:tblInd w:w="0" w:type="dxa"/>
        <w:shd w:val="clear" w:color="auto" w:fill="auto"/>
        <w:tblLayout w:type="fixed"/>
        <w:tblCellMar>
          <w:top w:w="0" w:type="dxa"/>
          <w:left w:w="0" w:type="dxa"/>
          <w:bottom w:w="0" w:type="dxa"/>
          <w:right w:w="0" w:type="dxa"/>
        </w:tblCellMar>
      </w:tblPr>
      <w:tblGrid>
        <w:gridCol w:w="467"/>
        <w:gridCol w:w="2992"/>
        <w:gridCol w:w="1067"/>
        <w:gridCol w:w="1368"/>
        <w:gridCol w:w="1172"/>
        <w:gridCol w:w="1270"/>
      </w:tblGrid>
      <w:tr w14:paraId="7BDCA79E">
        <w:tblPrEx>
          <w:shd w:val="clear" w:color="auto" w:fill="auto"/>
          <w:tblCellMar>
            <w:top w:w="0" w:type="dxa"/>
            <w:left w:w="0" w:type="dxa"/>
            <w:bottom w:w="0" w:type="dxa"/>
            <w:right w:w="0" w:type="dxa"/>
          </w:tblCellMar>
        </w:tblPrEx>
        <w:trPr>
          <w:trHeight w:val="567" w:hRule="atLeast"/>
        </w:trPr>
        <w:tc>
          <w:tcPr>
            <w:tcW w:w="4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FC3E9F">
            <w:pPr>
              <w:keepNext w:val="0"/>
              <w:keepLines w:val="0"/>
              <w:widowControl/>
              <w:suppressLineNumbers w:val="0"/>
              <w:spacing w:line="360" w:lineRule="auto"/>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序号</w:t>
            </w:r>
          </w:p>
        </w:tc>
        <w:tc>
          <w:tcPr>
            <w:tcW w:w="29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C55930">
            <w:pPr>
              <w:keepNext w:val="0"/>
              <w:keepLines w:val="0"/>
              <w:widowControl/>
              <w:suppressLineNumbers w:val="0"/>
              <w:spacing w:line="360" w:lineRule="auto"/>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项目内容</w:t>
            </w:r>
          </w:p>
        </w:tc>
        <w:tc>
          <w:tcPr>
            <w:tcW w:w="10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700EF3">
            <w:pPr>
              <w:keepNext w:val="0"/>
              <w:keepLines w:val="0"/>
              <w:widowControl/>
              <w:suppressLineNumbers w:val="0"/>
              <w:spacing w:line="360" w:lineRule="auto"/>
              <w:jc w:val="center"/>
              <w:textAlignment w:val="center"/>
              <w:rPr>
                <w:rFonts w:hint="eastAsia" w:ascii="宋体" w:hAnsi="宋体" w:eastAsia="宋体" w:cs="宋体"/>
                <w:b w:val="0"/>
                <w:bCs/>
                <w:i w:val="0"/>
                <w:color w:val="auto"/>
                <w:sz w:val="22"/>
                <w:szCs w:val="22"/>
                <w:highlight w:val="none"/>
                <w:u w:val="none"/>
              </w:rPr>
            </w:pPr>
            <w:r>
              <w:rPr>
                <w:rFonts w:hint="eastAsia" w:ascii="宋体" w:hAnsi="宋体" w:cs="宋体"/>
                <w:b/>
                <w:i w:val="0"/>
                <w:color w:val="auto"/>
                <w:kern w:val="0"/>
                <w:sz w:val="22"/>
                <w:szCs w:val="22"/>
                <w:highlight w:val="none"/>
                <w:u w:val="none"/>
                <w:lang w:val="en-US" w:eastAsia="zh-CN" w:bidi="ar"/>
              </w:rPr>
              <w:t>数量/</w:t>
            </w:r>
            <w:r>
              <w:rPr>
                <w:rFonts w:hint="eastAsia" w:ascii="宋体" w:hAnsi="宋体" w:eastAsia="宋体" w:cs="宋体"/>
                <w:b/>
                <w:i w:val="0"/>
                <w:color w:val="auto"/>
                <w:kern w:val="0"/>
                <w:sz w:val="22"/>
                <w:szCs w:val="22"/>
                <w:highlight w:val="none"/>
                <w:u w:val="none"/>
                <w:lang w:val="en-US" w:eastAsia="zh-CN" w:bidi="ar"/>
              </w:rPr>
              <w:t>单位</w:t>
            </w:r>
          </w:p>
        </w:tc>
        <w:tc>
          <w:tcPr>
            <w:tcW w:w="13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5C0009">
            <w:pPr>
              <w:keepNext w:val="0"/>
              <w:keepLines w:val="0"/>
              <w:widowControl/>
              <w:suppressLineNumbers w:val="0"/>
              <w:spacing w:line="360" w:lineRule="auto"/>
              <w:jc w:val="center"/>
              <w:textAlignment w:val="center"/>
              <w:rPr>
                <w:rFonts w:hint="default" w:ascii="宋体" w:hAnsi="宋体" w:eastAsia="宋体" w:cs="宋体"/>
                <w:b/>
                <w:i w:val="0"/>
                <w:color w:val="auto"/>
                <w:sz w:val="22"/>
                <w:szCs w:val="22"/>
                <w:highlight w:val="none"/>
                <w:u w:val="none"/>
                <w:lang w:val="en-US"/>
              </w:rPr>
            </w:pPr>
            <w:r>
              <w:rPr>
                <w:rFonts w:hint="eastAsia" w:ascii="宋体" w:hAnsi="宋体" w:cs="宋体"/>
                <w:b/>
                <w:i w:val="0"/>
                <w:color w:val="auto"/>
                <w:kern w:val="0"/>
                <w:sz w:val="22"/>
                <w:szCs w:val="22"/>
                <w:highlight w:val="none"/>
                <w:u w:val="none"/>
                <w:lang w:val="en-US" w:eastAsia="zh-CN" w:bidi="ar"/>
              </w:rPr>
              <w:t>最高限价</w:t>
            </w:r>
          </w:p>
        </w:tc>
        <w:tc>
          <w:tcPr>
            <w:tcW w:w="11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BEBF8A">
            <w:pPr>
              <w:keepNext w:val="0"/>
              <w:keepLines w:val="0"/>
              <w:widowControl/>
              <w:suppressLineNumbers w:val="0"/>
              <w:spacing w:line="360" w:lineRule="auto"/>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含税总价</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3AF948">
            <w:pPr>
              <w:keepNext w:val="0"/>
              <w:keepLines w:val="0"/>
              <w:widowControl/>
              <w:suppressLineNumbers w:val="0"/>
              <w:spacing w:line="360" w:lineRule="auto"/>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备注</w:t>
            </w:r>
          </w:p>
        </w:tc>
      </w:tr>
      <w:tr w14:paraId="7D11E8C1">
        <w:tblPrEx>
          <w:shd w:val="clear" w:color="auto" w:fill="auto"/>
          <w:tblCellMar>
            <w:top w:w="0" w:type="dxa"/>
            <w:left w:w="0" w:type="dxa"/>
            <w:bottom w:w="0" w:type="dxa"/>
            <w:right w:w="0" w:type="dxa"/>
          </w:tblCellMar>
        </w:tblPrEx>
        <w:trPr>
          <w:trHeight w:val="567" w:hRule="atLeast"/>
        </w:trPr>
        <w:tc>
          <w:tcPr>
            <w:tcW w:w="4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627200">
            <w:pPr>
              <w:keepNext w:val="0"/>
              <w:keepLines w:val="0"/>
              <w:widowControl/>
              <w:suppressLineNumbers w:val="0"/>
              <w:spacing w:line="36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9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C5BA80">
            <w:pPr>
              <w:keepNext w:val="0"/>
              <w:keepLines w:val="0"/>
              <w:widowControl/>
              <w:suppressLineNumbers w:val="0"/>
              <w:spacing w:line="360" w:lineRule="auto"/>
              <w:jc w:val="center"/>
              <w:textAlignment w:val="center"/>
              <w:rPr>
                <w:rFonts w:hint="eastAsia" w:ascii="宋体" w:hAnsi="宋体" w:eastAsia="宋体" w:cs="宋体"/>
                <w:i w:val="0"/>
                <w:color w:val="auto"/>
                <w:sz w:val="21"/>
                <w:szCs w:val="21"/>
                <w:highlight w:val="none"/>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44A247">
            <w:pPr>
              <w:keepNext w:val="0"/>
              <w:keepLines w:val="0"/>
              <w:widowControl/>
              <w:suppressLineNumbers w:val="0"/>
              <w:spacing w:line="360" w:lineRule="auto"/>
              <w:jc w:val="center"/>
              <w:textAlignment w:val="center"/>
              <w:rPr>
                <w:rFonts w:hint="default" w:ascii="宋体" w:hAnsi="宋体" w:eastAsia="宋体" w:cs="宋体"/>
                <w:b w:val="0"/>
                <w:bCs/>
                <w:i w:val="0"/>
                <w:color w:val="auto"/>
                <w:sz w:val="21"/>
                <w:szCs w:val="21"/>
                <w:highlight w:val="none"/>
                <w:u w:val="none"/>
                <w:lang w:val="en-US" w:eastAsia="zh-CN"/>
              </w:rPr>
            </w:pPr>
          </w:p>
        </w:tc>
        <w:tc>
          <w:tcPr>
            <w:tcW w:w="13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918937">
            <w:pPr>
              <w:spacing w:line="360" w:lineRule="auto"/>
              <w:jc w:val="center"/>
              <w:rPr>
                <w:rFonts w:hint="default" w:ascii="宋体" w:hAnsi="宋体" w:eastAsia="宋体" w:cs="宋体"/>
                <w:i w:val="0"/>
                <w:color w:val="auto"/>
                <w:sz w:val="21"/>
                <w:szCs w:val="21"/>
                <w:highlight w:val="none"/>
                <w:u w:val="none"/>
                <w:lang w:val="en-US" w:eastAsia="zh-CN"/>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6222F6">
            <w:pPr>
              <w:spacing w:line="360" w:lineRule="auto"/>
              <w:jc w:val="center"/>
              <w:rPr>
                <w:rFonts w:hint="eastAsia" w:ascii="宋体" w:hAnsi="宋体" w:eastAsia="宋体" w:cs="宋体"/>
                <w:i w:val="0"/>
                <w:color w:val="auto"/>
                <w:sz w:val="21"/>
                <w:szCs w:val="21"/>
                <w:highlight w:val="none"/>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B69152">
            <w:pPr>
              <w:spacing w:line="360" w:lineRule="auto"/>
              <w:jc w:val="center"/>
              <w:rPr>
                <w:rFonts w:hint="eastAsia" w:ascii="宋体" w:hAnsi="宋体" w:eastAsia="宋体" w:cs="宋体"/>
                <w:i w:val="0"/>
                <w:color w:val="auto"/>
                <w:sz w:val="21"/>
                <w:szCs w:val="21"/>
                <w:highlight w:val="none"/>
                <w:u w:val="none"/>
              </w:rPr>
            </w:pPr>
          </w:p>
        </w:tc>
      </w:tr>
      <w:tr w14:paraId="26E84EA4">
        <w:tblPrEx>
          <w:shd w:val="clear" w:color="auto" w:fill="auto"/>
          <w:tblCellMar>
            <w:top w:w="0" w:type="dxa"/>
            <w:left w:w="0" w:type="dxa"/>
            <w:bottom w:w="0" w:type="dxa"/>
            <w:right w:w="0" w:type="dxa"/>
          </w:tblCellMar>
        </w:tblPrEx>
        <w:trPr>
          <w:trHeight w:val="567" w:hRule="atLeast"/>
        </w:trPr>
        <w:tc>
          <w:tcPr>
            <w:tcW w:w="4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19042C">
            <w:pPr>
              <w:keepNext w:val="0"/>
              <w:keepLines w:val="0"/>
              <w:widowControl/>
              <w:suppressLineNumbers w:val="0"/>
              <w:spacing w:line="36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29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156353">
            <w:pPr>
              <w:keepNext w:val="0"/>
              <w:keepLines w:val="0"/>
              <w:widowControl/>
              <w:suppressLineNumbers w:val="0"/>
              <w:spacing w:line="360" w:lineRule="auto"/>
              <w:jc w:val="center"/>
              <w:textAlignment w:val="center"/>
              <w:rPr>
                <w:rFonts w:hint="eastAsia" w:ascii="宋体" w:hAnsi="宋体" w:eastAsia="宋体" w:cs="宋体"/>
                <w:i w:val="0"/>
                <w:color w:val="auto"/>
                <w:sz w:val="21"/>
                <w:szCs w:val="21"/>
                <w:highlight w:val="none"/>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EB2693">
            <w:pPr>
              <w:keepNext w:val="0"/>
              <w:keepLines w:val="0"/>
              <w:widowControl/>
              <w:suppressLineNumbers w:val="0"/>
              <w:spacing w:line="360" w:lineRule="auto"/>
              <w:jc w:val="center"/>
              <w:textAlignment w:val="center"/>
              <w:rPr>
                <w:rFonts w:hint="eastAsia" w:ascii="宋体" w:hAnsi="宋体" w:eastAsia="宋体" w:cs="宋体"/>
                <w:b w:val="0"/>
                <w:bCs/>
                <w:i w:val="0"/>
                <w:color w:val="auto"/>
                <w:sz w:val="21"/>
                <w:szCs w:val="21"/>
                <w:highlight w:val="none"/>
                <w:u w:val="none"/>
              </w:rPr>
            </w:pPr>
          </w:p>
        </w:tc>
        <w:tc>
          <w:tcPr>
            <w:tcW w:w="13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FE9D28">
            <w:pPr>
              <w:spacing w:line="360" w:lineRule="auto"/>
              <w:jc w:val="center"/>
              <w:rPr>
                <w:rFonts w:hint="default" w:ascii="宋体" w:hAnsi="宋体" w:eastAsia="宋体" w:cs="宋体"/>
                <w:i w:val="0"/>
                <w:color w:val="auto"/>
                <w:sz w:val="21"/>
                <w:szCs w:val="21"/>
                <w:highlight w:val="none"/>
                <w:u w:val="none"/>
                <w:lang w:val="en-US" w:eastAsia="zh-CN"/>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1E860">
            <w:pPr>
              <w:spacing w:line="360" w:lineRule="auto"/>
              <w:jc w:val="center"/>
              <w:rPr>
                <w:rFonts w:hint="eastAsia" w:ascii="宋体" w:hAnsi="宋体" w:eastAsia="宋体" w:cs="宋体"/>
                <w:i w:val="0"/>
                <w:color w:val="auto"/>
                <w:sz w:val="21"/>
                <w:szCs w:val="21"/>
                <w:highlight w:val="none"/>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12255B">
            <w:pPr>
              <w:spacing w:line="360" w:lineRule="auto"/>
              <w:jc w:val="center"/>
              <w:rPr>
                <w:rFonts w:hint="eastAsia" w:ascii="宋体" w:hAnsi="宋体" w:eastAsia="宋体" w:cs="宋体"/>
                <w:i w:val="0"/>
                <w:color w:val="auto"/>
                <w:sz w:val="21"/>
                <w:szCs w:val="21"/>
                <w:highlight w:val="none"/>
                <w:u w:val="none"/>
              </w:rPr>
            </w:pPr>
          </w:p>
        </w:tc>
      </w:tr>
      <w:tr w14:paraId="359FF2B1">
        <w:tblPrEx>
          <w:shd w:val="clear" w:color="auto" w:fill="auto"/>
          <w:tblCellMar>
            <w:top w:w="0" w:type="dxa"/>
            <w:left w:w="0" w:type="dxa"/>
            <w:bottom w:w="0" w:type="dxa"/>
            <w:right w:w="0" w:type="dxa"/>
          </w:tblCellMar>
        </w:tblPrEx>
        <w:trPr>
          <w:trHeight w:val="567" w:hRule="atLeast"/>
        </w:trPr>
        <w:tc>
          <w:tcPr>
            <w:tcW w:w="4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955B26">
            <w:pPr>
              <w:keepNext w:val="0"/>
              <w:keepLines w:val="0"/>
              <w:widowControl/>
              <w:suppressLineNumbers w:val="0"/>
              <w:spacing w:line="36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w:t>
            </w:r>
          </w:p>
        </w:tc>
        <w:tc>
          <w:tcPr>
            <w:tcW w:w="29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A88B44">
            <w:pPr>
              <w:keepNext w:val="0"/>
              <w:keepLines w:val="0"/>
              <w:widowControl/>
              <w:suppressLineNumbers w:val="0"/>
              <w:spacing w:line="360" w:lineRule="auto"/>
              <w:jc w:val="center"/>
              <w:textAlignment w:val="center"/>
              <w:rPr>
                <w:rFonts w:hint="eastAsia" w:ascii="宋体" w:hAnsi="宋体" w:eastAsia="宋体" w:cs="宋体"/>
                <w:i w:val="0"/>
                <w:color w:val="auto"/>
                <w:sz w:val="21"/>
                <w:szCs w:val="21"/>
                <w:highlight w:val="none"/>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55F14E">
            <w:pPr>
              <w:keepNext w:val="0"/>
              <w:keepLines w:val="0"/>
              <w:widowControl/>
              <w:suppressLineNumbers w:val="0"/>
              <w:spacing w:line="360" w:lineRule="auto"/>
              <w:jc w:val="center"/>
              <w:textAlignment w:val="center"/>
              <w:rPr>
                <w:rFonts w:hint="eastAsia" w:ascii="宋体" w:hAnsi="宋体" w:eastAsia="宋体" w:cs="宋体"/>
                <w:b w:val="0"/>
                <w:bCs/>
                <w:i w:val="0"/>
                <w:color w:val="auto"/>
                <w:sz w:val="21"/>
                <w:szCs w:val="21"/>
                <w:highlight w:val="none"/>
                <w:u w:val="none"/>
              </w:rPr>
            </w:pPr>
          </w:p>
        </w:tc>
        <w:tc>
          <w:tcPr>
            <w:tcW w:w="13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98D4A2">
            <w:pPr>
              <w:spacing w:line="360" w:lineRule="auto"/>
              <w:jc w:val="center"/>
              <w:rPr>
                <w:rFonts w:hint="default" w:ascii="宋体" w:hAnsi="宋体" w:eastAsia="宋体" w:cs="宋体"/>
                <w:i w:val="0"/>
                <w:color w:val="auto"/>
                <w:sz w:val="21"/>
                <w:szCs w:val="21"/>
                <w:highlight w:val="none"/>
                <w:u w:val="none"/>
                <w:lang w:val="en-US" w:eastAsia="zh-CN"/>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F6C534">
            <w:pPr>
              <w:spacing w:line="360" w:lineRule="auto"/>
              <w:jc w:val="center"/>
              <w:rPr>
                <w:rFonts w:hint="eastAsia" w:ascii="宋体" w:hAnsi="宋体" w:eastAsia="宋体" w:cs="宋体"/>
                <w:i w:val="0"/>
                <w:color w:val="auto"/>
                <w:sz w:val="22"/>
                <w:szCs w:val="22"/>
                <w:highlight w:val="none"/>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C78B95">
            <w:pPr>
              <w:spacing w:line="360" w:lineRule="auto"/>
              <w:jc w:val="left"/>
              <w:rPr>
                <w:rFonts w:hint="eastAsia" w:ascii="宋体" w:hAnsi="宋体" w:eastAsia="宋体" w:cs="宋体"/>
                <w:i w:val="0"/>
                <w:color w:val="auto"/>
                <w:sz w:val="21"/>
                <w:szCs w:val="21"/>
                <w:highlight w:val="none"/>
                <w:u w:val="none"/>
              </w:rPr>
            </w:pPr>
          </w:p>
        </w:tc>
      </w:tr>
      <w:tr w14:paraId="499FEDAB">
        <w:tblPrEx>
          <w:shd w:val="clear" w:color="auto" w:fill="auto"/>
          <w:tblCellMar>
            <w:top w:w="0" w:type="dxa"/>
            <w:left w:w="0" w:type="dxa"/>
            <w:bottom w:w="0" w:type="dxa"/>
            <w:right w:w="0" w:type="dxa"/>
          </w:tblCellMar>
        </w:tblPrEx>
        <w:trPr>
          <w:trHeight w:val="567" w:hRule="atLeast"/>
        </w:trPr>
        <w:tc>
          <w:tcPr>
            <w:tcW w:w="589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A56E57">
            <w:pPr>
              <w:keepNext w:val="0"/>
              <w:keepLines w:val="0"/>
              <w:widowControl/>
              <w:suppressLineNumbers w:val="0"/>
              <w:spacing w:line="360" w:lineRule="auto"/>
              <w:jc w:val="center"/>
              <w:textAlignment w:val="center"/>
              <w:rPr>
                <w:rFonts w:hint="eastAsia" w:ascii="宋体" w:hAnsi="宋体" w:eastAsia="宋体" w:cs="宋体"/>
                <w:b w:val="0"/>
                <w:bCs/>
                <w:i w:val="0"/>
                <w:color w:val="auto"/>
                <w:sz w:val="24"/>
                <w:szCs w:val="24"/>
                <w:highlight w:val="none"/>
                <w:u w:val="none"/>
              </w:rPr>
            </w:pPr>
            <w:r>
              <w:rPr>
                <w:rFonts w:hint="eastAsia" w:ascii="宋体" w:hAnsi="宋体" w:eastAsia="宋体" w:cs="宋体"/>
                <w:b w:val="0"/>
                <w:bCs/>
                <w:i w:val="0"/>
                <w:color w:val="auto"/>
                <w:kern w:val="0"/>
                <w:sz w:val="24"/>
                <w:szCs w:val="24"/>
                <w:highlight w:val="none"/>
                <w:u w:val="none"/>
                <w:lang w:val="en-US" w:eastAsia="zh-CN" w:bidi="ar"/>
              </w:rPr>
              <w:t>合计</w:t>
            </w: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18AAD1">
            <w:pPr>
              <w:keepNext w:val="0"/>
              <w:keepLines w:val="0"/>
              <w:widowControl/>
              <w:suppressLineNumbers w:val="0"/>
              <w:spacing w:line="360" w:lineRule="auto"/>
              <w:jc w:val="center"/>
              <w:textAlignment w:val="center"/>
              <w:rPr>
                <w:rFonts w:hint="eastAsia" w:ascii="宋体" w:hAnsi="宋体" w:eastAsia="宋体" w:cs="宋体"/>
                <w:b/>
                <w:i w:val="0"/>
                <w:color w:val="auto"/>
                <w:sz w:val="24"/>
                <w:szCs w:val="24"/>
                <w:highlight w:val="none"/>
                <w:u w:val="none"/>
              </w:rPr>
            </w:pPr>
            <w:r>
              <w:rPr>
                <w:rFonts w:hint="eastAsia" w:ascii="宋体" w:hAnsi="宋体" w:eastAsia="宋体" w:cs="宋体"/>
                <w:b/>
                <w:i w:val="0"/>
                <w:color w:val="auto"/>
                <w:kern w:val="0"/>
                <w:sz w:val="24"/>
                <w:szCs w:val="24"/>
                <w:highlight w:val="none"/>
                <w:u w:val="none"/>
                <w:lang w:val="en-US" w:eastAsia="zh-CN" w:bidi="ar"/>
              </w:rPr>
              <w:t xml:space="preserve">   </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6E77C5">
            <w:pPr>
              <w:spacing w:line="360" w:lineRule="auto"/>
              <w:rPr>
                <w:rFonts w:hint="eastAsia" w:ascii="宋体" w:hAnsi="宋体" w:eastAsia="宋体" w:cs="宋体"/>
                <w:i w:val="0"/>
                <w:color w:val="auto"/>
                <w:sz w:val="19"/>
                <w:szCs w:val="19"/>
                <w:highlight w:val="none"/>
                <w:u w:val="none"/>
              </w:rPr>
            </w:pPr>
          </w:p>
        </w:tc>
      </w:tr>
    </w:tbl>
    <w:p w14:paraId="2AA093DB">
      <w:pPr>
        <w:spacing w:line="360" w:lineRule="auto"/>
        <w:ind w:left="748" w:hanging="567"/>
        <w:jc w:val="left"/>
        <w:rPr>
          <w:rFonts w:ascii="宋体" w:hAnsi="宋体"/>
          <w:b/>
          <w:bCs/>
          <w:color w:val="auto"/>
          <w:sz w:val="21"/>
          <w:szCs w:val="21"/>
          <w:highlight w:val="none"/>
        </w:rPr>
      </w:pPr>
      <w:r>
        <w:rPr>
          <w:rFonts w:hint="eastAsia" w:ascii="宋体" w:hAnsi="宋体"/>
          <w:b/>
          <w:bCs/>
          <w:color w:val="auto"/>
          <w:sz w:val="21"/>
          <w:szCs w:val="21"/>
          <w:highlight w:val="none"/>
        </w:rPr>
        <w:t>注：以上报价请四舍五入，最多保留2位小数，否则视为无效报价。</w:t>
      </w:r>
    </w:p>
    <w:p w14:paraId="3430485F">
      <w:pPr>
        <w:spacing w:line="360" w:lineRule="auto"/>
        <w:ind w:firstLine="359" w:firstLineChars="171"/>
        <w:rPr>
          <w:rFonts w:hint="eastAsia" w:ascii="宋体" w:hAnsi="宋体"/>
          <w:color w:val="auto"/>
          <w:szCs w:val="21"/>
          <w:highlight w:val="none"/>
        </w:rPr>
      </w:pPr>
    </w:p>
    <w:p w14:paraId="002959EA">
      <w:pPr>
        <w:spacing w:line="360" w:lineRule="auto"/>
        <w:ind w:firstLine="359" w:firstLineChars="171"/>
        <w:rPr>
          <w:rFonts w:ascii="宋体" w:hAnsi="宋体"/>
          <w:color w:val="auto"/>
          <w:szCs w:val="21"/>
          <w:highlight w:val="none"/>
        </w:rPr>
      </w:pPr>
      <w:r>
        <w:rPr>
          <w:rFonts w:hint="eastAsia" w:ascii="宋体" w:hAnsi="宋体"/>
          <w:color w:val="auto"/>
          <w:szCs w:val="21"/>
          <w:highlight w:val="none"/>
        </w:rPr>
        <w:t>供应商代表签字：</w:t>
      </w:r>
    </w:p>
    <w:p w14:paraId="525E8D09">
      <w:pPr>
        <w:spacing w:line="360" w:lineRule="auto"/>
        <w:ind w:firstLine="359" w:firstLineChars="171"/>
        <w:rPr>
          <w:rFonts w:ascii="宋体" w:hAnsi="宋体"/>
          <w:color w:val="auto"/>
          <w:szCs w:val="21"/>
          <w:highlight w:val="none"/>
        </w:rPr>
      </w:pPr>
      <w:r>
        <w:rPr>
          <w:rFonts w:hint="eastAsia" w:ascii="宋体" w:hAnsi="宋体"/>
          <w:color w:val="auto"/>
          <w:szCs w:val="21"/>
          <w:highlight w:val="none"/>
        </w:rPr>
        <w:t>供应商盖章：</w:t>
      </w:r>
    </w:p>
    <w:p w14:paraId="642B3DD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日期：</w:t>
      </w:r>
    </w:p>
    <w:p w14:paraId="388E2B53">
      <w:pPr>
        <w:widowControl/>
        <w:jc w:val="left"/>
        <w:rPr>
          <w:color w:val="auto"/>
          <w:highlight w:val="none"/>
        </w:rPr>
      </w:pPr>
      <w:r>
        <w:rPr>
          <w:color w:val="auto"/>
          <w:highlight w:val="none"/>
        </w:rPr>
        <w:br w:type="page"/>
      </w:r>
    </w:p>
    <w:p w14:paraId="2A758F26">
      <w:pPr>
        <w:pStyle w:val="6"/>
        <w:jc w:val="left"/>
        <w:rPr>
          <w:color w:val="auto"/>
          <w:highlight w:val="none"/>
        </w:rPr>
      </w:pPr>
      <w:bookmarkStart w:id="223" w:name="_Toc28919"/>
      <w:r>
        <w:rPr>
          <w:rFonts w:hint="eastAsia"/>
          <w:color w:val="auto"/>
          <w:highlight w:val="none"/>
        </w:rPr>
        <w:t>第三部分</w:t>
      </w:r>
      <w:r>
        <w:rPr>
          <w:color w:val="auto"/>
          <w:highlight w:val="none"/>
        </w:rPr>
        <w:t xml:space="preserve">  </w:t>
      </w:r>
      <w:r>
        <w:rPr>
          <w:rFonts w:hint="eastAsia"/>
          <w:color w:val="auto"/>
          <w:highlight w:val="none"/>
        </w:rPr>
        <w:t>唱标信封（单独密封）</w:t>
      </w:r>
      <w:bookmarkEnd w:id="223"/>
    </w:p>
    <w:p w14:paraId="6BE2BC1E">
      <w:pPr>
        <w:spacing w:line="360" w:lineRule="auto"/>
        <w:ind w:left="796" w:leftChars="178" w:hanging="422" w:hangingChars="201"/>
        <w:rPr>
          <w:rFonts w:hAnsi="宋体"/>
          <w:color w:val="auto"/>
          <w:szCs w:val="21"/>
          <w:highlight w:val="none"/>
        </w:rPr>
      </w:pPr>
    </w:p>
    <w:p w14:paraId="7FFC0B52">
      <w:pPr>
        <w:spacing w:line="360" w:lineRule="auto"/>
        <w:ind w:left="796" w:leftChars="178" w:hanging="422" w:hangingChars="201"/>
        <w:rPr>
          <w:rFonts w:hAnsi="宋体"/>
          <w:color w:val="auto"/>
          <w:szCs w:val="21"/>
          <w:highlight w:val="none"/>
        </w:rPr>
      </w:pPr>
      <w:r>
        <w:rPr>
          <w:rFonts w:hint="eastAsia" w:hAnsi="宋体"/>
          <w:color w:val="auto"/>
          <w:szCs w:val="21"/>
          <w:highlight w:val="none"/>
        </w:rPr>
        <w:t>唱标信封内装：</w:t>
      </w:r>
    </w:p>
    <w:p w14:paraId="63DF7EB0">
      <w:pPr>
        <w:numPr>
          <w:ilvl w:val="0"/>
          <w:numId w:val="9"/>
        </w:numPr>
        <w:autoSpaceDE w:val="0"/>
        <w:autoSpaceDN w:val="0"/>
        <w:adjustRightInd w:val="0"/>
        <w:spacing w:line="360" w:lineRule="auto"/>
        <w:ind w:firstLineChars="200"/>
        <w:jc w:val="left"/>
        <w:rPr>
          <w:rFonts w:hAnsi="宋体"/>
          <w:color w:val="auto"/>
          <w:szCs w:val="21"/>
          <w:highlight w:val="none"/>
        </w:rPr>
      </w:pPr>
      <w:r>
        <w:rPr>
          <w:rFonts w:hint="eastAsia" w:hAnsi="宋体"/>
          <w:color w:val="auto"/>
          <w:szCs w:val="21"/>
          <w:highlight w:val="none"/>
        </w:rPr>
        <w:t>竞争性谈判响应函复印件加盖公章；</w:t>
      </w:r>
    </w:p>
    <w:p w14:paraId="0931827F">
      <w:pPr>
        <w:numPr>
          <w:ilvl w:val="0"/>
          <w:numId w:val="9"/>
        </w:numPr>
        <w:autoSpaceDE w:val="0"/>
        <w:autoSpaceDN w:val="0"/>
        <w:adjustRightInd w:val="0"/>
        <w:spacing w:line="360" w:lineRule="auto"/>
        <w:ind w:firstLineChars="200"/>
        <w:jc w:val="left"/>
        <w:rPr>
          <w:rFonts w:hAnsi="宋体"/>
          <w:color w:val="auto"/>
          <w:szCs w:val="21"/>
          <w:highlight w:val="none"/>
        </w:rPr>
      </w:pPr>
      <w:r>
        <w:rPr>
          <w:rFonts w:hint="eastAsia" w:hAnsi="宋体"/>
          <w:color w:val="auto"/>
          <w:szCs w:val="21"/>
          <w:highlight w:val="none"/>
        </w:rPr>
        <w:t>法定代表人证明书复印件加盖公章；</w:t>
      </w:r>
    </w:p>
    <w:p w14:paraId="301E062B">
      <w:pPr>
        <w:numPr>
          <w:ilvl w:val="0"/>
          <w:numId w:val="9"/>
        </w:numPr>
        <w:autoSpaceDE w:val="0"/>
        <w:autoSpaceDN w:val="0"/>
        <w:adjustRightInd w:val="0"/>
        <w:spacing w:line="360" w:lineRule="auto"/>
        <w:ind w:firstLineChars="200"/>
        <w:jc w:val="left"/>
        <w:rPr>
          <w:rFonts w:hAnsi="宋体"/>
          <w:color w:val="auto"/>
          <w:szCs w:val="21"/>
          <w:highlight w:val="none"/>
        </w:rPr>
      </w:pPr>
      <w:r>
        <w:rPr>
          <w:rFonts w:hint="eastAsia" w:hAnsi="宋体"/>
          <w:color w:val="auto"/>
          <w:szCs w:val="21"/>
          <w:highlight w:val="none"/>
        </w:rPr>
        <w:t>法定代表人授权委托书复印件加盖公章（法定代表人投标的除外）；</w:t>
      </w:r>
    </w:p>
    <w:p w14:paraId="3D7D0796">
      <w:pPr>
        <w:numPr>
          <w:ilvl w:val="0"/>
          <w:numId w:val="9"/>
        </w:numPr>
        <w:autoSpaceDE w:val="0"/>
        <w:autoSpaceDN w:val="0"/>
        <w:adjustRightInd w:val="0"/>
        <w:spacing w:line="360" w:lineRule="auto"/>
        <w:ind w:firstLineChars="200"/>
        <w:jc w:val="left"/>
        <w:rPr>
          <w:rFonts w:hAnsi="宋体"/>
          <w:color w:val="auto"/>
          <w:szCs w:val="21"/>
          <w:highlight w:val="none"/>
        </w:rPr>
      </w:pPr>
      <w:r>
        <w:rPr>
          <w:rFonts w:hint="eastAsia" w:hAnsi="宋体"/>
          <w:color w:val="auto"/>
          <w:szCs w:val="21"/>
          <w:highlight w:val="none"/>
        </w:rPr>
        <w:t>报价一览表复印件加盖公章；</w:t>
      </w:r>
    </w:p>
    <w:p w14:paraId="1CDA19D4">
      <w:pPr>
        <w:numPr>
          <w:ilvl w:val="0"/>
          <w:numId w:val="9"/>
        </w:numPr>
        <w:autoSpaceDE w:val="0"/>
        <w:autoSpaceDN w:val="0"/>
        <w:adjustRightInd w:val="0"/>
        <w:spacing w:line="360" w:lineRule="auto"/>
        <w:ind w:firstLineChars="200"/>
        <w:jc w:val="left"/>
        <w:rPr>
          <w:rFonts w:hAnsi="宋体"/>
          <w:color w:val="auto"/>
          <w:szCs w:val="21"/>
          <w:highlight w:val="none"/>
        </w:rPr>
      </w:pPr>
      <w:r>
        <w:rPr>
          <w:rFonts w:hint="eastAsia" w:hAnsi="宋体"/>
          <w:color w:val="auto"/>
          <w:szCs w:val="21"/>
          <w:highlight w:val="none"/>
        </w:rPr>
        <w:t>响应文件电子文件（U盘）；</w:t>
      </w:r>
    </w:p>
    <w:p w14:paraId="7C97A676">
      <w:pPr>
        <w:tabs>
          <w:tab w:val="left" w:pos="720"/>
        </w:tabs>
        <w:spacing w:line="440" w:lineRule="exact"/>
        <w:rPr>
          <w:color w:val="auto"/>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华文隶书">
    <w:altName w:val="微软雅黑"/>
    <w:panose1 w:val="0201080004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867B7">
    <w:pPr>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3175" r="635" b="0"/>
              <wp:wrapNone/>
              <wp:docPr id="7" name="文本框 7"/>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73F9943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28</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D5X5J0AAAAAMBAAAPAAAAAAAAAAEAIAAAACIAAABkcnMv&#10;ZG93bnJldi54bWxQSwECFAAUAAAACACHTuJAj5xr/QsCAAACBAAADgAAAAAAAAABACAAAAAfAQAA&#10;ZHJzL2Uyb0RvYy54bWxQSwUGAAAAAAYABgBZAQAAnAUAAAAA&#10;">
              <v:fill on="f" focussize="0,0"/>
              <v:stroke on="f"/>
              <v:imagedata o:title=""/>
              <o:lock v:ext="edit" aspectratio="f"/>
              <v:textbox inset="0mm,0mm,0mm,0mm" style="mso-fit-shape-to-text:t;">
                <w:txbxContent>
                  <w:p w14:paraId="73F9943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28</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975C48"/>
    <w:multiLevelType w:val="multilevel"/>
    <w:tmpl w:val="00975C48"/>
    <w:lvl w:ilvl="0" w:tentative="0">
      <w:start w:val="1"/>
      <w:numFmt w:val="decimal"/>
      <w:lvlText w:val="（%1）"/>
      <w:lvlJc w:val="left"/>
      <w:pPr>
        <w:ind w:left="156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7D67977"/>
    <w:multiLevelType w:val="multilevel"/>
    <w:tmpl w:val="27D67977"/>
    <w:lvl w:ilvl="0" w:tentative="0">
      <w:start w:val="1"/>
      <w:numFmt w:val="decimal"/>
      <w:lvlText w:val="%1"/>
      <w:lvlJc w:val="left"/>
      <w:pPr>
        <w:ind w:left="425" w:hanging="425"/>
      </w:pPr>
    </w:lvl>
    <w:lvl w:ilvl="1" w:tentative="0">
      <w:start w:val="1"/>
      <w:numFmt w:val="decimal"/>
      <w:lvlText w:val="%1.%2"/>
      <w:lvlJc w:val="left"/>
      <w:pPr>
        <w:ind w:left="992" w:hanging="567"/>
      </w:pPr>
      <w:rPr>
        <w:b w:val="0"/>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2">
    <w:nsid w:val="31B23450"/>
    <w:multiLevelType w:val="multilevel"/>
    <w:tmpl w:val="31B2345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4E02070"/>
    <w:multiLevelType w:val="multilevel"/>
    <w:tmpl w:val="34E02070"/>
    <w:lvl w:ilvl="0" w:tentative="0">
      <w:start w:val="1"/>
      <w:numFmt w:val="decimal"/>
      <w:lvlText w:val="%1"/>
      <w:lvlJc w:val="left"/>
      <w:pPr>
        <w:ind w:left="425" w:hanging="425"/>
      </w:pPr>
      <w:rPr>
        <w:rFonts w:hint="eastAsia"/>
      </w:rPr>
    </w:lvl>
    <w:lvl w:ilvl="1" w:tentative="0">
      <w:start w:val="1"/>
      <w:numFmt w:val="decimal"/>
      <w:lvlText w:val="2.%2"/>
      <w:lvlJc w:val="left"/>
      <w:pPr>
        <w:ind w:left="992" w:hanging="567"/>
      </w:pPr>
      <w:rPr>
        <w:rFonts w:hint="eastAsia"/>
        <w:b w:val="0"/>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4">
    <w:nsid w:val="400F3F41"/>
    <w:multiLevelType w:val="multilevel"/>
    <w:tmpl w:val="400F3F41"/>
    <w:lvl w:ilvl="0" w:tentative="0">
      <w:start w:val="1"/>
      <w:numFmt w:val="decimal"/>
      <w:lvlText w:val="%1."/>
      <w:lvlJc w:val="left"/>
      <w:pPr>
        <w:ind w:left="360" w:hanging="360"/>
      </w:pPr>
      <w:rPr>
        <w:rFonts w:hint="default"/>
      </w:rPr>
    </w:lvl>
    <w:lvl w:ilvl="1" w:tentative="0">
      <w:start w:val="6"/>
      <w:numFmt w:val="decimal"/>
      <w:isLgl/>
      <w:lvlText w:val="%1.%2"/>
      <w:lvlJc w:val="left"/>
      <w:pPr>
        <w:ind w:left="540" w:hanging="54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080" w:hanging="108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440" w:hanging="1440"/>
      </w:pPr>
      <w:rPr>
        <w:rFonts w:hint="default"/>
      </w:rPr>
    </w:lvl>
  </w:abstractNum>
  <w:abstractNum w:abstractNumId="5">
    <w:nsid w:val="429F0012"/>
    <w:multiLevelType w:val="multilevel"/>
    <w:tmpl w:val="429F0012"/>
    <w:lvl w:ilvl="0" w:tentative="0">
      <w:start w:val="1"/>
      <w:numFmt w:val="decimal"/>
      <w:lvlText w:val="%1."/>
      <w:lvlJc w:val="left"/>
      <w:pPr>
        <w:ind w:left="360" w:hanging="360"/>
      </w:pPr>
      <w:rPr>
        <w:rFonts w:hint="default"/>
      </w:rPr>
    </w:lvl>
    <w:lvl w:ilvl="1" w:tentative="0">
      <w:start w:val="1"/>
      <w:numFmt w:val="decimal"/>
      <w:lvlText w:val="%2．"/>
      <w:lvlJc w:val="left"/>
      <w:pPr>
        <w:ind w:left="840" w:hanging="420"/>
      </w:pPr>
      <w:rPr>
        <w:rFonts w:hint="default"/>
      </w:rPr>
    </w:lvl>
    <w:lvl w:ilvl="2" w:tentative="0">
      <w:start w:val="1"/>
      <w:numFmt w:val="decimal"/>
      <w:lvlText w:val="（%3）"/>
      <w:lvlJc w:val="left"/>
      <w:pPr>
        <w:ind w:left="1560" w:hanging="72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4AC775F4"/>
    <w:multiLevelType w:val="multilevel"/>
    <w:tmpl w:val="4AC775F4"/>
    <w:lvl w:ilvl="0" w:tentative="0">
      <w:start w:val="1"/>
      <w:numFmt w:val="decimal"/>
      <w:lvlText w:val="%1."/>
      <w:lvlJc w:val="left"/>
      <w:pPr>
        <w:ind w:left="425" w:hanging="425"/>
      </w:pPr>
      <w:rPr>
        <w:rFonts w:hint="eastAsia" w:ascii="宋体" w:hAnsi="宋体" w:eastAsia="宋体"/>
        <w:b/>
        <w:sz w:val="28"/>
      </w:rPr>
    </w:lvl>
    <w:lvl w:ilvl="1" w:tentative="0">
      <w:start w:val="1"/>
      <w:numFmt w:val="decimal"/>
      <w:pStyle w:val="36"/>
      <w:lvlText w:val="%1.%2"/>
      <w:lvlJc w:val="left"/>
      <w:pPr>
        <w:ind w:left="850" w:hanging="425"/>
      </w:pPr>
      <w:rPr>
        <w:rFonts w:hint="eastAsia" w:eastAsia="宋体"/>
        <w:b/>
        <w:i w:val="0"/>
        <w:sz w:val="24"/>
      </w:rPr>
    </w:lvl>
    <w:lvl w:ilvl="2" w:tentative="0">
      <w:start w:val="1"/>
      <w:numFmt w:val="decimal"/>
      <w:pStyle w:val="72"/>
      <w:lvlText w:val="%1.%2.%3"/>
      <w:lvlJc w:val="left"/>
      <w:pPr>
        <w:ind w:left="1275" w:hanging="425"/>
      </w:pPr>
      <w:rPr>
        <w:rFonts w:hint="eastAsia" w:eastAsia="宋体"/>
        <w:b w:val="0"/>
        <w:i w:val="0"/>
        <w:sz w:val="21"/>
      </w:rPr>
    </w:lvl>
    <w:lvl w:ilvl="3" w:tentative="0">
      <w:start w:val="1"/>
      <w:numFmt w:val="decimal"/>
      <w:lvlText w:val="%1.%2.%3.%4"/>
      <w:lvlJc w:val="left"/>
      <w:pPr>
        <w:ind w:left="1700" w:hanging="425"/>
      </w:pPr>
      <w:rPr>
        <w:rFonts w:hint="eastAsia"/>
      </w:rPr>
    </w:lvl>
    <w:lvl w:ilvl="4" w:tentative="0">
      <w:start w:val="1"/>
      <w:numFmt w:val="decimal"/>
      <w:lvlText w:val="%1.%2.%3.%4.%5"/>
      <w:lvlJc w:val="left"/>
      <w:pPr>
        <w:ind w:left="2125" w:hanging="425"/>
      </w:pPr>
      <w:rPr>
        <w:rFonts w:hint="eastAsia"/>
      </w:rPr>
    </w:lvl>
    <w:lvl w:ilvl="5" w:tentative="0">
      <w:start w:val="1"/>
      <w:numFmt w:val="decimal"/>
      <w:lvlText w:val="%1.%2.%3.%4.%5.%6"/>
      <w:lvlJc w:val="left"/>
      <w:pPr>
        <w:ind w:left="2550" w:hanging="425"/>
      </w:pPr>
      <w:rPr>
        <w:rFonts w:hint="eastAsia"/>
      </w:rPr>
    </w:lvl>
    <w:lvl w:ilvl="6" w:tentative="0">
      <w:start w:val="1"/>
      <w:numFmt w:val="decimal"/>
      <w:lvlText w:val="%1.%2.%3.%4.%5.%6.%7"/>
      <w:lvlJc w:val="left"/>
      <w:pPr>
        <w:ind w:left="2975" w:hanging="425"/>
      </w:pPr>
      <w:rPr>
        <w:rFonts w:hint="eastAsia"/>
      </w:rPr>
    </w:lvl>
    <w:lvl w:ilvl="7" w:tentative="0">
      <w:start w:val="1"/>
      <w:numFmt w:val="decimal"/>
      <w:lvlText w:val="%1.%2.%3.%4.%5.%6.%7.%8"/>
      <w:lvlJc w:val="left"/>
      <w:pPr>
        <w:ind w:left="3400" w:hanging="425"/>
      </w:pPr>
      <w:rPr>
        <w:rFonts w:hint="eastAsia"/>
      </w:rPr>
    </w:lvl>
    <w:lvl w:ilvl="8" w:tentative="0">
      <w:start w:val="1"/>
      <w:numFmt w:val="decimal"/>
      <w:lvlText w:val="%1.%2.%3.%4.%5.%6.%7.%8.%9"/>
      <w:lvlJc w:val="left"/>
      <w:pPr>
        <w:ind w:left="3825" w:hanging="425"/>
      </w:pPr>
      <w:rPr>
        <w:rFonts w:hint="eastAsia"/>
      </w:rPr>
    </w:lvl>
  </w:abstractNum>
  <w:abstractNum w:abstractNumId="7">
    <w:nsid w:val="59C5D728"/>
    <w:multiLevelType w:val="singleLevel"/>
    <w:tmpl w:val="59C5D728"/>
    <w:lvl w:ilvl="0" w:tentative="0">
      <w:start w:val="1"/>
      <w:numFmt w:val="chineseCounting"/>
      <w:suff w:val="nothing"/>
      <w:lvlText w:val="%1、"/>
      <w:lvlJc w:val="left"/>
      <w:pPr>
        <w:ind w:left="0" w:firstLine="420"/>
      </w:pPr>
      <w:rPr>
        <w:rFonts w:hint="eastAsia"/>
      </w:rPr>
    </w:lvl>
  </w:abstractNum>
  <w:abstractNum w:abstractNumId="8">
    <w:nsid w:val="635E683D"/>
    <w:multiLevelType w:val="multilevel"/>
    <w:tmpl w:val="635E683D"/>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6"/>
  </w:num>
  <w:num w:numId="2">
    <w:abstractNumId w:val="1"/>
  </w:num>
  <w:num w:numId="3">
    <w:abstractNumId w:val="3"/>
  </w:num>
  <w:num w:numId="4">
    <w:abstractNumId w:val="4"/>
  </w:num>
  <w:num w:numId="5">
    <w:abstractNumId w:val="5"/>
  </w:num>
  <w:num w:numId="6">
    <w:abstractNumId w:val="8"/>
  </w:num>
  <w:num w:numId="7">
    <w:abstractNumId w:val="2"/>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5ZmE1ZTg2YWQyZjkyNDFjNDRlY2FmM2Y3Yzg0ZDMifQ=="/>
  </w:docVars>
  <w:rsids>
    <w:rsidRoot w:val="007F7043"/>
    <w:rsid w:val="0000377B"/>
    <w:rsid w:val="000068EA"/>
    <w:rsid w:val="00007223"/>
    <w:rsid w:val="0001068F"/>
    <w:rsid w:val="000125F4"/>
    <w:rsid w:val="000259BD"/>
    <w:rsid w:val="0003046F"/>
    <w:rsid w:val="00031930"/>
    <w:rsid w:val="000353AC"/>
    <w:rsid w:val="00046275"/>
    <w:rsid w:val="00053FF2"/>
    <w:rsid w:val="00055DA3"/>
    <w:rsid w:val="000634B4"/>
    <w:rsid w:val="0007006A"/>
    <w:rsid w:val="00070D24"/>
    <w:rsid w:val="000761F7"/>
    <w:rsid w:val="00076DFA"/>
    <w:rsid w:val="00081F9C"/>
    <w:rsid w:val="000862DF"/>
    <w:rsid w:val="000873D4"/>
    <w:rsid w:val="0008744A"/>
    <w:rsid w:val="00091BA0"/>
    <w:rsid w:val="00092304"/>
    <w:rsid w:val="000A0E22"/>
    <w:rsid w:val="000A24D5"/>
    <w:rsid w:val="000B0915"/>
    <w:rsid w:val="000B6DE6"/>
    <w:rsid w:val="000C2D7F"/>
    <w:rsid w:val="000C6828"/>
    <w:rsid w:val="000D3326"/>
    <w:rsid w:val="000D39C4"/>
    <w:rsid w:val="000D6A60"/>
    <w:rsid w:val="000E1DA4"/>
    <w:rsid w:val="000E5805"/>
    <w:rsid w:val="000F26EE"/>
    <w:rsid w:val="000F3DBB"/>
    <w:rsid w:val="000F58BD"/>
    <w:rsid w:val="000F676E"/>
    <w:rsid w:val="001033E2"/>
    <w:rsid w:val="0011115C"/>
    <w:rsid w:val="001114E2"/>
    <w:rsid w:val="00113948"/>
    <w:rsid w:val="00124BCF"/>
    <w:rsid w:val="0012586F"/>
    <w:rsid w:val="00125AE4"/>
    <w:rsid w:val="001308F0"/>
    <w:rsid w:val="00131A68"/>
    <w:rsid w:val="0013254C"/>
    <w:rsid w:val="00132BFB"/>
    <w:rsid w:val="0013421C"/>
    <w:rsid w:val="00134782"/>
    <w:rsid w:val="0013663E"/>
    <w:rsid w:val="00142BF2"/>
    <w:rsid w:val="001545C3"/>
    <w:rsid w:val="00162486"/>
    <w:rsid w:val="0016555D"/>
    <w:rsid w:val="00166828"/>
    <w:rsid w:val="001762A3"/>
    <w:rsid w:val="001776DB"/>
    <w:rsid w:val="00177990"/>
    <w:rsid w:val="001926AA"/>
    <w:rsid w:val="0019600D"/>
    <w:rsid w:val="001A39AD"/>
    <w:rsid w:val="001A557C"/>
    <w:rsid w:val="001B5293"/>
    <w:rsid w:val="001B6936"/>
    <w:rsid w:val="001C0E77"/>
    <w:rsid w:val="001C48B4"/>
    <w:rsid w:val="001C7FA0"/>
    <w:rsid w:val="001D001E"/>
    <w:rsid w:val="001D1A8A"/>
    <w:rsid w:val="001D2177"/>
    <w:rsid w:val="001D645C"/>
    <w:rsid w:val="001E0E84"/>
    <w:rsid w:val="001E1964"/>
    <w:rsid w:val="001F03F7"/>
    <w:rsid w:val="001F2656"/>
    <w:rsid w:val="0020205A"/>
    <w:rsid w:val="00202BDA"/>
    <w:rsid w:val="00212556"/>
    <w:rsid w:val="00213735"/>
    <w:rsid w:val="00215D42"/>
    <w:rsid w:val="00215DB5"/>
    <w:rsid w:val="002229F4"/>
    <w:rsid w:val="00224DA6"/>
    <w:rsid w:val="00225ABF"/>
    <w:rsid w:val="00231ECF"/>
    <w:rsid w:val="00232F26"/>
    <w:rsid w:val="00240E9B"/>
    <w:rsid w:val="00240FAF"/>
    <w:rsid w:val="002427F7"/>
    <w:rsid w:val="00245AF1"/>
    <w:rsid w:val="00255A54"/>
    <w:rsid w:val="00255D59"/>
    <w:rsid w:val="00265B00"/>
    <w:rsid w:val="0027062F"/>
    <w:rsid w:val="00280080"/>
    <w:rsid w:val="002804AE"/>
    <w:rsid w:val="00282462"/>
    <w:rsid w:val="002826F6"/>
    <w:rsid w:val="00292FF2"/>
    <w:rsid w:val="0029376F"/>
    <w:rsid w:val="00293F68"/>
    <w:rsid w:val="002A5B78"/>
    <w:rsid w:val="002B0670"/>
    <w:rsid w:val="002B7587"/>
    <w:rsid w:val="002B7661"/>
    <w:rsid w:val="002D16FE"/>
    <w:rsid w:val="002D20B1"/>
    <w:rsid w:val="002D5A77"/>
    <w:rsid w:val="002E2895"/>
    <w:rsid w:val="002E3D00"/>
    <w:rsid w:val="002E6DCC"/>
    <w:rsid w:val="002F747B"/>
    <w:rsid w:val="00305DAF"/>
    <w:rsid w:val="00306C8C"/>
    <w:rsid w:val="0031043B"/>
    <w:rsid w:val="0031158A"/>
    <w:rsid w:val="00311A4C"/>
    <w:rsid w:val="00314113"/>
    <w:rsid w:val="003214FF"/>
    <w:rsid w:val="00322BC5"/>
    <w:rsid w:val="00333529"/>
    <w:rsid w:val="003335D4"/>
    <w:rsid w:val="00340328"/>
    <w:rsid w:val="003430A1"/>
    <w:rsid w:val="003443FA"/>
    <w:rsid w:val="003545F9"/>
    <w:rsid w:val="00355AC7"/>
    <w:rsid w:val="00356C08"/>
    <w:rsid w:val="00357096"/>
    <w:rsid w:val="00366E3A"/>
    <w:rsid w:val="003744F6"/>
    <w:rsid w:val="003755B6"/>
    <w:rsid w:val="00376018"/>
    <w:rsid w:val="003765FB"/>
    <w:rsid w:val="00383607"/>
    <w:rsid w:val="00387551"/>
    <w:rsid w:val="00397A3F"/>
    <w:rsid w:val="003A3ADE"/>
    <w:rsid w:val="003B1CCA"/>
    <w:rsid w:val="003B3753"/>
    <w:rsid w:val="003B5578"/>
    <w:rsid w:val="003B7024"/>
    <w:rsid w:val="003C0972"/>
    <w:rsid w:val="003C37CB"/>
    <w:rsid w:val="003C4252"/>
    <w:rsid w:val="003D0D02"/>
    <w:rsid w:val="003D0DF5"/>
    <w:rsid w:val="003D454A"/>
    <w:rsid w:val="003D4D5D"/>
    <w:rsid w:val="003D5EF7"/>
    <w:rsid w:val="003D66FF"/>
    <w:rsid w:val="003F2F66"/>
    <w:rsid w:val="003F403A"/>
    <w:rsid w:val="003F67B8"/>
    <w:rsid w:val="00405A7D"/>
    <w:rsid w:val="00406DFA"/>
    <w:rsid w:val="004140FD"/>
    <w:rsid w:val="00427F1A"/>
    <w:rsid w:val="00431CEF"/>
    <w:rsid w:val="00434DDB"/>
    <w:rsid w:val="00442F1B"/>
    <w:rsid w:val="00444F94"/>
    <w:rsid w:val="00446077"/>
    <w:rsid w:val="00451B69"/>
    <w:rsid w:val="00457795"/>
    <w:rsid w:val="00460378"/>
    <w:rsid w:val="0047136F"/>
    <w:rsid w:val="00482072"/>
    <w:rsid w:val="00482F38"/>
    <w:rsid w:val="00486F55"/>
    <w:rsid w:val="0049123C"/>
    <w:rsid w:val="00491356"/>
    <w:rsid w:val="00495A94"/>
    <w:rsid w:val="004A0F02"/>
    <w:rsid w:val="004A7525"/>
    <w:rsid w:val="004B0D39"/>
    <w:rsid w:val="004B47DB"/>
    <w:rsid w:val="004B5A8D"/>
    <w:rsid w:val="004C1BF6"/>
    <w:rsid w:val="004C5563"/>
    <w:rsid w:val="004C6E94"/>
    <w:rsid w:val="004D2F89"/>
    <w:rsid w:val="004E2784"/>
    <w:rsid w:val="004E5496"/>
    <w:rsid w:val="004F415F"/>
    <w:rsid w:val="004F6631"/>
    <w:rsid w:val="0050571F"/>
    <w:rsid w:val="00506215"/>
    <w:rsid w:val="005167A3"/>
    <w:rsid w:val="00532FF9"/>
    <w:rsid w:val="00534C42"/>
    <w:rsid w:val="00540577"/>
    <w:rsid w:val="00541639"/>
    <w:rsid w:val="00544269"/>
    <w:rsid w:val="00555575"/>
    <w:rsid w:val="00555695"/>
    <w:rsid w:val="005560D4"/>
    <w:rsid w:val="0056130C"/>
    <w:rsid w:val="0057741D"/>
    <w:rsid w:val="005776B5"/>
    <w:rsid w:val="0058248C"/>
    <w:rsid w:val="00582770"/>
    <w:rsid w:val="00583051"/>
    <w:rsid w:val="00584F60"/>
    <w:rsid w:val="0058539D"/>
    <w:rsid w:val="005A1F08"/>
    <w:rsid w:val="005A1FAE"/>
    <w:rsid w:val="005A4D41"/>
    <w:rsid w:val="005B42F2"/>
    <w:rsid w:val="005C3C1E"/>
    <w:rsid w:val="005C5AD3"/>
    <w:rsid w:val="005C7525"/>
    <w:rsid w:val="005D0764"/>
    <w:rsid w:val="005D4A4C"/>
    <w:rsid w:val="005D69CE"/>
    <w:rsid w:val="005E26F7"/>
    <w:rsid w:val="005E6827"/>
    <w:rsid w:val="005E70B5"/>
    <w:rsid w:val="005F097F"/>
    <w:rsid w:val="005F1F3E"/>
    <w:rsid w:val="005F2C3A"/>
    <w:rsid w:val="005F6F53"/>
    <w:rsid w:val="006003E1"/>
    <w:rsid w:val="006024CC"/>
    <w:rsid w:val="00610F61"/>
    <w:rsid w:val="00621733"/>
    <w:rsid w:val="00623406"/>
    <w:rsid w:val="00625F81"/>
    <w:rsid w:val="00626AD4"/>
    <w:rsid w:val="00630513"/>
    <w:rsid w:val="00634795"/>
    <w:rsid w:val="00635D8E"/>
    <w:rsid w:val="0064035A"/>
    <w:rsid w:val="00643DDF"/>
    <w:rsid w:val="00647396"/>
    <w:rsid w:val="006570BF"/>
    <w:rsid w:val="00664CF3"/>
    <w:rsid w:val="00666038"/>
    <w:rsid w:val="006727C5"/>
    <w:rsid w:val="006764D4"/>
    <w:rsid w:val="00684322"/>
    <w:rsid w:val="00686A71"/>
    <w:rsid w:val="006A112C"/>
    <w:rsid w:val="006A4E92"/>
    <w:rsid w:val="006A7450"/>
    <w:rsid w:val="006B2C49"/>
    <w:rsid w:val="006C05C4"/>
    <w:rsid w:val="006E577D"/>
    <w:rsid w:val="006F1984"/>
    <w:rsid w:val="006F549E"/>
    <w:rsid w:val="006F7A59"/>
    <w:rsid w:val="0070116A"/>
    <w:rsid w:val="007136D4"/>
    <w:rsid w:val="007175E8"/>
    <w:rsid w:val="00717EAC"/>
    <w:rsid w:val="007305E3"/>
    <w:rsid w:val="00735940"/>
    <w:rsid w:val="00736461"/>
    <w:rsid w:val="00736732"/>
    <w:rsid w:val="00736A4E"/>
    <w:rsid w:val="00737B8B"/>
    <w:rsid w:val="00740A87"/>
    <w:rsid w:val="00741664"/>
    <w:rsid w:val="00745D20"/>
    <w:rsid w:val="00747901"/>
    <w:rsid w:val="00747D17"/>
    <w:rsid w:val="0075231A"/>
    <w:rsid w:val="007620C0"/>
    <w:rsid w:val="00764814"/>
    <w:rsid w:val="00764B37"/>
    <w:rsid w:val="0076780F"/>
    <w:rsid w:val="00770E9C"/>
    <w:rsid w:val="00773F55"/>
    <w:rsid w:val="00780AF3"/>
    <w:rsid w:val="007846D2"/>
    <w:rsid w:val="00784C56"/>
    <w:rsid w:val="0079202B"/>
    <w:rsid w:val="00795BE7"/>
    <w:rsid w:val="00796644"/>
    <w:rsid w:val="007A62AC"/>
    <w:rsid w:val="007B4F47"/>
    <w:rsid w:val="007B789E"/>
    <w:rsid w:val="007E3A74"/>
    <w:rsid w:val="007E7D13"/>
    <w:rsid w:val="007F7043"/>
    <w:rsid w:val="00800ACF"/>
    <w:rsid w:val="00803110"/>
    <w:rsid w:val="00805C25"/>
    <w:rsid w:val="008072D2"/>
    <w:rsid w:val="00815713"/>
    <w:rsid w:val="0082425B"/>
    <w:rsid w:val="008254A1"/>
    <w:rsid w:val="00825D9A"/>
    <w:rsid w:val="00841DD6"/>
    <w:rsid w:val="008448EA"/>
    <w:rsid w:val="008460C6"/>
    <w:rsid w:val="008508E2"/>
    <w:rsid w:val="008509E3"/>
    <w:rsid w:val="008516E4"/>
    <w:rsid w:val="00857310"/>
    <w:rsid w:val="0085749E"/>
    <w:rsid w:val="008650DD"/>
    <w:rsid w:val="00866D8B"/>
    <w:rsid w:val="00871D8E"/>
    <w:rsid w:val="00872E85"/>
    <w:rsid w:val="008811E5"/>
    <w:rsid w:val="00884570"/>
    <w:rsid w:val="00884C4E"/>
    <w:rsid w:val="00890E4C"/>
    <w:rsid w:val="00891870"/>
    <w:rsid w:val="00891B82"/>
    <w:rsid w:val="0089351B"/>
    <w:rsid w:val="00894FE8"/>
    <w:rsid w:val="008A1DC8"/>
    <w:rsid w:val="008A515A"/>
    <w:rsid w:val="008C09B2"/>
    <w:rsid w:val="008D3E81"/>
    <w:rsid w:val="008D456D"/>
    <w:rsid w:val="008E1744"/>
    <w:rsid w:val="008E513F"/>
    <w:rsid w:val="008E6348"/>
    <w:rsid w:val="008E7C12"/>
    <w:rsid w:val="008F46A2"/>
    <w:rsid w:val="008F4EAA"/>
    <w:rsid w:val="00900B7E"/>
    <w:rsid w:val="009010CD"/>
    <w:rsid w:val="009013B8"/>
    <w:rsid w:val="0090210A"/>
    <w:rsid w:val="00903EF0"/>
    <w:rsid w:val="00905F80"/>
    <w:rsid w:val="00911EA5"/>
    <w:rsid w:val="00912253"/>
    <w:rsid w:val="009140DC"/>
    <w:rsid w:val="00915242"/>
    <w:rsid w:val="00917987"/>
    <w:rsid w:val="0092159B"/>
    <w:rsid w:val="00922A56"/>
    <w:rsid w:val="009236E4"/>
    <w:rsid w:val="00937839"/>
    <w:rsid w:val="009413B9"/>
    <w:rsid w:val="0094174C"/>
    <w:rsid w:val="0094283C"/>
    <w:rsid w:val="00950340"/>
    <w:rsid w:val="00951A6D"/>
    <w:rsid w:val="00953892"/>
    <w:rsid w:val="009541FE"/>
    <w:rsid w:val="0095654C"/>
    <w:rsid w:val="00956A2E"/>
    <w:rsid w:val="009711D7"/>
    <w:rsid w:val="00991598"/>
    <w:rsid w:val="00993A23"/>
    <w:rsid w:val="00994838"/>
    <w:rsid w:val="00996189"/>
    <w:rsid w:val="00996C4C"/>
    <w:rsid w:val="009B2E9E"/>
    <w:rsid w:val="009B4340"/>
    <w:rsid w:val="009C05FF"/>
    <w:rsid w:val="009C3EB6"/>
    <w:rsid w:val="009C4AE1"/>
    <w:rsid w:val="009E3766"/>
    <w:rsid w:val="009E709C"/>
    <w:rsid w:val="009F1648"/>
    <w:rsid w:val="009F2569"/>
    <w:rsid w:val="009F4DC3"/>
    <w:rsid w:val="009F6FF9"/>
    <w:rsid w:val="00A11BF7"/>
    <w:rsid w:val="00A1231D"/>
    <w:rsid w:val="00A146E4"/>
    <w:rsid w:val="00A1566E"/>
    <w:rsid w:val="00A15B9D"/>
    <w:rsid w:val="00A214B6"/>
    <w:rsid w:val="00A222B3"/>
    <w:rsid w:val="00A265D1"/>
    <w:rsid w:val="00A34B42"/>
    <w:rsid w:val="00A37D33"/>
    <w:rsid w:val="00A43985"/>
    <w:rsid w:val="00A52C6C"/>
    <w:rsid w:val="00A53322"/>
    <w:rsid w:val="00A5556A"/>
    <w:rsid w:val="00A55FEF"/>
    <w:rsid w:val="00A57987"/>
    <w:rsid w:val="00A654DA"/>
    <w:rsid w:val="00A66F77"/>
    <w:rsid w:val="00A70328"/>
    <w:rsid w:val="00A727A6"/>
    <w:rsid w:val="00A741F6"/>
    <w:rsid w:val="00A74520"/>
    <w:rsid w:val="00A76DE0"/>
    <w:rsid w:val="00A8311B"/>
    <w:rsid w:val="00A84477"/>
    <w:rsid w:val="00A869D1"/>
    <w:rsid w:val="00A92E8F"/>
    <w:rsid w:val="00A936C7"/>
    <w:rsid w:val="00AA3428"/>
    <w:rsid w:val="00AA4712"/>
    <w:rsid w:val="00AA520E"/>
    <w:rsid w:val="00AB5E0B"/>
    <w:rsid w:val="00AB7928"/>
    <w:rsid w:val="00AC7749"/>
    <w:rsid w:val="00AD45E5"/>
    <w:rsid w:val="00AD7143"/>
    <w:rsid w:val="00AD7D67"/>
    <w:rsid w:val="00AE29D5"/>
    <w:rsid w:val="00AE3232"/>
    <w:rsid w:val="00AE54E5"/>
    <w:rsid w:val="00AE7910"/>
    <w:rsid w:val="00AF0BB8"/>
    <w:rsid w:val="00AF2A00"/>
    <w:rsid w:val="00AF66E1"/>
    <w:rsid w:val="00AF69C8"/>
    <w:rsid w:val="00B0021D"/>
    <w:rsid w:val="00B01B9F"/>
    <w:rsid w:val="00B06020"/>
    <w:rsid w:val="00B060CE"/>
    <w:rsid w:val="00B06FE3"/>
    <w:rsid w:val="00B133D8"/>
    <w:rsid w:val="00B156A3"/>
    <w:rsid w:val="00B2005E"/>
    <w:rsid w:val="00B257D5"/>
    <w:rsid w:val="00B3037E"/>
    <w:rsid w:val="00B31BD7"/>
    <w:rsid w:val="00B4499D"/>
    <w:rsid w:val="00B47580"/>
    <w:rsid w:val="00B514EF"/>
    <w:rsid w:val="00B51DD2"/>
    <w:rsid w:val="00B53F77"/>
    <w:rsid w:val="00B63273"/>
    <w:rsid w:val="00B63536"/>
    <w:rsid w:val="00B65A3C"/>
    <w:rsid w:val="00B7132D"/>
    <w:rsid w:val="00B72AF9"/>
    <w:rsid w:val="00B74806"/>
    <w:rsid w:val="00B74D7C"/>
    <w:rsid w:val="00B91568"/>
    <w:rsid w:val="00B92B13"/>
    <w:rsid w:val="00B93A94"/>
    <w:rsid w:val="00B95A7E"/>
    <w:rsid w:val="00B96E2E"/>
    <w:rsid w:val="00B97786"/>
    <w:rsid w:val="00BA3BF9"/>
    <w:rsid w:val="00BB259C"/>
    <w:rsid w:val="00BB5EE2"/>
    <w:rsid w:val="00BC1C43"/>
    <w:rsid w:val="00BC3B6D"/>
    <w:rsid w:val="00BC6BA5"/>
    <w:rsid w:val="00BD0DF7"/>
    <w:rsid w:val="00BE4981"/>
    <w:rsid w:val="00BE6CF3"/>
    <w:rsid w:val="00BF4BE7"/>
    <w:rsid w:val="00BF6561"/>
    <w:rsid w:val="00C11BBF"/>
    <w:rsid w:val="00C14061"/>
    <w:rsid w:val="00C15BDE"/>
    <w:rsid w:val="00C20849"/>
    <w:rsid w:val="00C2296D"/>
    <w:rsid w:val="00C2412D"/>
    <w:rsid w:val="00C31F97"/>
    <w:rsid w:val="00C37A0B"/>
    <w:rsid w:val="00C4079B"/>
    <w:rsid w:val="00C45CDA"/>
    <w:rsid w:val="00C53DD1"/>
    <w:rsid w:val="00C60320"/>
    <w:rsid w:val="00C60B60"/>
    <w:rsid w:val="00C63C93"/>
    <w:rsid w:val="00C737AB"/>
    <w:rsid w:val="00C73F66"/>
    <w:rsid w:val="00C82D23"/>
    <w:rsid w:val="00C84F04"/>
    <w:rsid w:val="00C957FB"/>
    <w:rsid w:val="00CA2879"/>
    <w:rsid w:val="00CA369C"/>
    <w:rsid w:val="00CA37E9"/>
    <w:rsid w:val="00CA4C4C"/>
    <w:rsid w:val="00CA5EA8"/>
    <w:rsid w:val="00CD0E53"/>
    <w:rsid w:val="00CE49DF"/>
    <w:rsid w:val="00CE51FE"/>
    <w:rsid w:val="00CE7495"/>
    <w:rsid w:val="00CF3208"/>
    <w:rsid w:val="00CF33AC"/>
    <w:rsid w:val="00D039B8"/>
    <w:rsid w:val="00D11DBF"/>
    <w:rsid w:val="00D147E9"/>
    <w:rsid w:val="00D201DE"/>
    <w:rsid w:val="00D2068F"/>
    <w:rsid w:val="00D216D8"/>
    <w:rsid w:val="00D247C1"/>
    <w:rsid w:val="00D3113E"/>
    <w:rsid w:val="00D40845"/>
    <w:rsid w:val="00D40908"/>
    <w:rsid w:val="00D44F77"/>
    <w:rsid w:val="00D5126E"/>
    <w:rsid w:val="00D51484"/>
    <w:rsid w:val="00D6258C"/>
    <w:rsid w:val="00D72D9B"/>
    <w:rsid w:val="00D74398"/>
    <w:rsid w:val="00D826C0"/>
    <w:rsid w:val="00D82DC6"/>
    <w:rsid w:val="00D8569F"/>
    <w:rsid w:val="00D862EA"/>
    <w:rsid w:val="00D9477D"/>
    <w:rsid w:val="00DA5B1C"/>
    <w:rsid w:val="00DA7D30"/>
    <w:rsid w:val="00DC59CE"/>
    <w:rsid w:val="00DC78E3"/>
    <w:rsid w:val="00DE3880"/>
    <w:rsid w:val="00DE4D4E"/>
    <w:rsid w:val="00DF06CE"/>
    <w:rsid w:val="00DF2682"/>
    <w:rsid w:val="00DF3139"/>
    <w:rsid w:val="00E055A0"/>
    <w:rsid w:val="00E103C0"/>
    <w:rsid w:val="00E1156E"/>
    <w:rsid w:val="00E136F0"/>
    <w:rsid w:val="00E153B9"/>
    <w:rsid w:val="00E23C83"/>
    <w:rsid w:val="00E2539D"/>
    <w:rsid w:val="00E337FB"/>
    <w:rsid w:val="00E4320B"/>
    <w:rsid w:val="00E52717"/>
    <w:rsid w:val="00E53126"/>
    <w:rsid w:val="00E56BF4"/>
    <w:rsid w:val="00E60793"/>
    <w:rsid w:val="00E6698C"/>
    <w:rsid w:val="00E671BD"/>
    <w:rsid w:val="00E702AF"/>
    <w:rsid w:val="00E70DC3"/>
    <w:rsid w:val="00E73BBB"/>
    <w:rsid w:val="00E858AB"/>
    <w:rsid w:val="00E87588"/>
    <w:rsid w:val="00E96052"/>
    <w:rsid w:val="00E96860"/>
    <w:rsid w:val="00EA19AE"/>
    <w:rsid w:val="00EA6544"/>
    <w:rsid w:val="00EC0ED5"/>
    <w:rsid w:val="00EC2F62"/>
    <w:rsid w:val="00EC5272"/>
    <w:rsid w:val="00EC5951"/>
    <w:rsid w:val="00ED2991"/>
    <w:rsid w:val="00ED38F5"/>
    <w:rsid w:val="00EE0F06"/>
    <w:rsid w:val="00EE3290"/>
    <w:rsid w:val="00EE59F7"/>
    <w:rsid w:val="00EF0C83"/>
    <w:rsid w:val="00EF5422"/>
    <w:rsid w:val="00F00F7C"/>
    <w:rsid w:val="00F0179A"/>
    <w:rsid w:val="00F02CB6"/>
    <w:rsid w:val="00F1564E"/>
    <w:rsid w:val="00F15834"/>
    <w:rsid w:val="00F26D8F"/>
    <w:rsid w:val="00F440F9"/>
    <w:rsid w:val="00F47249"/>
    <w:rsid w:val="00F71592"/>
    <w:rsid w:val="00F72D42"/>
    <w:rsid w:val="00F74617"/>
    <w:rsid w:val="00F74F76"/>
    <w:rsid w:val="00F93E03"/>
    <w:rsid w:val="00F94D38"/>
    <w:rsid w:val="00FA7F8A"/>
    <w:rsid w:val="00FB42DC"/>
    <w:rsid w:val="00FC1DBC"/>
    <w:rsid w:val="00FC749C"/>
    <w:rsid w:val="00FD3D2D"/>
    <w:rsid w:val="00FD6889"/>
    <w:rsid w:val="00FE609D"/>
    <w:rsid w:val="00FE6793"/>
    <w:rsid w:val="00FF0B7A"/>
    <w:rsid w:val="00FF2A32"/>
    <w:rsid w:val="00FF73E5"/>
    <w:rsid w:val="01CE7871"/>
    <w:rsid w:val="042C1229"/>
    <w:rsid w:val="050823DC"/>
    <w:rsid w:val="059F6DC6"/>
    <w:rsid w:val="06190EFB"/>
    <w:rsid w:val="084750B1"/>
    <w:rsid w:val="093D1475"/>
    <w:rsid w:val="095741E8"/>
    <w:rsid w:val="0A692307"/>
    <w:rsid w:val="0AAC430C"/>
    <w:rsid w:val="0AC13832"/>
    <w:rsid w:val="0C023288"/>
    <w:rsid w:val="0F0278D3"/>
    <w:rsid w:val="0FC515D3"/>
    <w:rsid w:val="10CE2E1A"/>
    <w:rsid w:val="15C21BB5"/>
    <w:rsid w:val="17E93DD2"/>
    <w:rsid w:val="1CD1028D"/>
    <w:rsid w:val="1DAE0C42"/>
    <w:rsid w:val="20453899"/>
    <w:rsid w:val="20796562"/>
    <w:rsid w:val="21413F1B"/>
    <w:rsid w:val="2315461F"/>
    <w:rsid w:val="23A30F55"/>
    <w:rsid w:val="256839EE"/>
    <w:rsid w:val="277C3410"/>
    <w:rsid w:val="2860503B"/>
    <w:rsid w:val="2DBD2C1C"/>
    <w:rsid w:val="2F5650BA"/>
    <w:rsid w:val="3214471B"/>
    <w:rsid w:val="327319A0"/>
    <w:rsid w:val="32E36D3A"/>
    <w:rsid w:val="33822207"/>
    <w:rsid w:val="354B68EB"/>
    <w:rsid w:val="35BE5BB7"/>
    <w:rsid w:val="35BF2E57"/>
    <w:rsid w:val="38826E03"/>
    <w:rsid w:val="38A95127"/>
    <w:rsid w:val="39E74759"/>
    <w:rsid w:val="3BF55114"/>
    <w:rsid w:val="3CC85F11"/>
    <w:rsid w:val="3EB318AE"/>
    <w:rsid w:val="40571E25"/>
    <w:rsid w:val="41277F7A"/>
    <w:rsid w:val="41356506"/>
    <w:rsid w:val="424A4507"/>
    <w:rsid w:val="43A461B1"/>
    <w:rsid w:val="45C435FA"/>
    <w:rsid w:val="484653A1"/>
    <w:rsid w:val="4EC96D56"/>
    <w:rsid w:val="50CA0F90"/>
    <w:rsid w:val="52A511A7"/>
    <w:rsid w:val="53167E49"/>
    <w:rsid w:val="53C0684F"/>
    <w:rsid w:val="55D43466"/>
    <w:rsid w:val="594528FD"/>
    <w:rsid w:val="5AF1353F"/>
    <w:rsid w:val="5CA56444"/>
    <w:rsid w:val="5E9776C3"/>
    <w:rsid w:val="639A466F"/>
    <w:rsid w:val="644967BD"/>
    <w:rsid w:val="671E2A10"/>
    <w:rsid w:val="69BE0AE7"/>
    <w:rsid w:val="6B6B159F"/>
    <w:rsid w:val="6B815641"/>
    <w:rsid w:val="6C6B517A"/>
    <w:rsid w:val="6D157683"/>
    <w:rsid w:val="6F3F741C"/>
    <w:rsid w:val="714A29CE"/>
    <w:rsid w:val="71CA44F6"/>
    <w:rsid w:val="721A4B11"/>
    <w:rsid w:val="72E54B3D"/>
    <w:rsid w:val="74FC53DD"/>
    <w:rsid w:val="75017FC7"/>
    <w:rsid w:val="75667048"/>
    <w:rsid w:val="78F024F2"/>
    <w:rsid w:val="7A065330"/>
    <w:rsid w:val="7A11532B"/>
    <w:rsid w:val="7A7F7107"/>
    <w:rsid w:val="7ACC3D21"/>
    <w:rsid w:val="7C760103"/>
    <w:rsid w:val="7CA9453E"/>
    <w:rsid w:val="7F6219AD"/>
    <w:rsid w:val="7F993C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qFormat="1" w:unhideWhenUsed="0" w:uiPriority="0" w:semiHidden="0"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nhideWhenUsed="0" w:uiPriority="35"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iPriority="0" w:semiHidden="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qFormat="1" w:uiPriority="0" w:semiHidden="0"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qFormat="1" w:uiPriority="0"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49"/>
    <w:qFormat/>
    <w:uiPriority w:val="0"/>
    <w:pPr>
      <w:keepNext/>
      <w:keepLines/>
      <w:spacing w:before="340" w:after="330" w:line="576" w:lineRule="auto"/>
      <w:outlineLvl w:val="0"/>
    </w:pPr>
    <w:rPr>
      <w:b/>
      <w:bCs/>
      <w:kern w:val="44"/>
      <w:sz w:val="44"/>
      <w:szCs w:val="44"/>
    </w:rPr>
  </w:style>
  <w:style w:type="paragraph" w:styleId="6">
    <w:name w:val="heading 2"/>
    <w:basedOn w:val="1"/>
    <w:next w:val="1"/>
    <w:link w:val="50"/>
    <w:qFormat/>
    <w:uiPriority w:val="9"/>
    <w:pPr>
      <w:keepNext/>
      <w:keepLines/>
      <w:spacing w:before="260" w:after="260" w:line="416" w:lineRule="auto"/>
      <w:outlineLvl w:val="1"/>
    </w:pPr>
    <w:rPr>
      <w:rFonts w:ascii="Arial" w:hAnsi="Arial" w:eastAsia="黑体"/>
      <w:b/>
      <w:bCs/>
      <w:sz w:val="32"/>
      <w:szCs w:val="32"/>
    </w:rPr>
  </w:style>
  <w:style w:type="paragraph" w:styleId="7">
    <w:name w:val="heading 3"/>
    <w:basedOn w:val="1"/>
    <w:next w:val="1"/>
    <w:link w:val="51"/>
    <w:qFormat/>
    <w:uiPriority w:val="0"/>
    <w:pPr>
      <w:keepNext/>
      <w:keepLines/>
      <w:spacing w:before="260" w:after="260" w:line="416" w:lineRule="auto"/>
      <w:outlineLvl w:val="2"/>
    </w:pPr>
    <w:rPr>
      <w:b/>
      <w:bCs/>
      <w:sz w:val="32"/>
      <w:szCs w:val="32"/>
    </w:rPr>
  </w:style>
  <w:style w:type="paragraph" w:styleId="8">
    <w:name w:val="heading 4"/>
    <w:basedOn w:val="1"/>
    <w:next w:val="1"/>
    <w:link w:val="52"/>
    <w:qFormat/>
    <w:uiPriority w:val="0"/>
    <w:pPr>
      <w:keepNext/>
      <w:keepLines/>
      <w:spacing w:before="280" w:after="290" w:line="376" w:lineRule="auto"/>
      <w:outlineLvl w:val="3"/>
    </w:pPr>
    <w:rPr>
      <w:rFonts w:ascii="Cambria" w:hAnsi="Cambria" w:cs="黑体"/>
      <w:b/>
      <w:bCs/>
      <w:sz w:val="28"/>
      <w:szCs w:val="28"/>
    </w:rPr>
  </w:style>
  <w:style w:type="paragraph" w:styleId="9">
    <w:name w:val="heading 6"/>
    <w:basedOn w:val="1"/>
    <w:next w:val="1"/>
    <w:link w:val="85"/>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10">
    <w:name w:val="heading 7"/>
    <w:basedOn w:val="1"/>
    <w:next w:val="1"/>
    <w:link w:val="86"/>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1">
    <w:name w:val="heading 8"/>
    <w:basedOn w:val="1"/>
    <w:next w:val="1"/>
    <w:link w:val="87"/>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2">
    <w:name w:val="heading 9"/>
    <w:basedOn w:val="1"/>
    <w:next w:val="1"/>
    <w:link w:val="88"/>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69"/>
    <w:unhideWhenUsed/>
    <w:qFormat/>
    <w:uiPriority w:val="0"/>
    <w:rPr>
      <w:sz w:val="28"/>
      <w:szCs w:val="20"/>
    </w:rPr>
  </w:style>
  <w:style w:type="paragraph" w:styleId="3">
    <w:name w:val="Body Text First Indent"/>
    <w:basedOn w:val="2"/>
    <w:next w:val="4"/>
    <w:qFormat/>
    <w:uiPriority w:val="0"/>
    <w:pPr>
      <w:spacing w:after="120"/>
      <w:ind w:firstLine="420" w:firstLineChars="100"/>
    </w:pPr>
    <w:rPr>
      <w:bCs/>
      <w:szCs w:val="21"/>
    </w:rPr>
  </w:style>
  <w:style w:type="paragraph" w:customStyle="1" w:styleId="4">
    <w:name w:val="样式 正文首行缩进 + 首行缩进:  1 字符"/>
    <w:basedOn w:val="1"/>
    <w:next w:val="1"/>
    <w:qFormat/>
    <w:uiPriority w:val="0"/>
    <w:pPr>
      <w:ind w:firstLine="200" w:firstLineChars="200"/>
    </w:pPr>
    <w:rPr>
      <w:rFonts w:cs="宋体"/>
      <w:szCs w:val="20"/>
    </w:rPr>
  </w:style>
  <w:style w:type="paragraph" w:styleId="13">
    <w:name w:val="toc 7"/>
    <w:basedOn w:val="1"/>
    <w:next w:val="1"/>
    <w:unhideWhenUsed/>
    <w:qFormat/>
    <w:uiPriority w:val="39"/>
    <w:pPr>
      <w:ind w:left="2520" w:leftChars="1200"/>
    </w:pPr>
    <w:rPr>
      <w:rFonts w:ascii="Calibri" w:hAnsi="Calibri"/>
      <w:szCs w:val="22"/>
    </w:rPr>
  </w:style>
  <w:style w:type="paragraph" w:styleId="14">
    <w:name w:val="Normal Indent"/>
    <w:basedOn w:val="1"/>
    <w:unhideWhenUsed/>
    <w:qFormat/>
    <w:uiPriority w:val="0"/>
    <w:pPr>
      <w:ind w:firstLine="420" w:firstLineChars="200"/>
    </w:pPr>
  </w:style>
  <w:style w:type="paragraph" w:styleId="15">
    <w:name w:val="caption"/>
    <w:basedOn w:val="1"/>
    <w:next w:val="1"/>
    <w:qFormat/>
    <w:uiPriority w:val="35"/>
    <w:rPr>
      <w:rFonts w:ascii="Cambria" w:hAnsi="Cambria" w:eastAsia="黑体"/>
      <w:sz w:val="20"/>
      <w:szCs w:val="20"/>
    </w:rPr>
  </w:style>
  <w:style w:type="paragraph" w:styleId="16">
    <w:name w:val="Document Map"/>
    <w:basedOn w:val="1"/>
    <w:link w:val="79"/>
    <w:unhideWhenUsed/>
    <w:qFormat/>
    <w:uiPriority w:val="99"/>
    <w:rPr>
      <w:rFonts w:ascii="宋体" w:hAnsiTheme="minorHAnsi" w:eastAsiaTheme="minorEastAsia" w:cstheme="minorBidi"/>
      <w:sz w:val="18"/>
      <w:szCs w:val="18"/>
    </w:rPr>
  </w:style>
  <w:style w:type="paragraph" w:styleId="17">
    <w:name w:val="annotation text"/>
    <w:basedOn w:val="1"/>
    <w:link w:val="63"/>
    <w:unhideWhenUsed/>
    <w:qFormat/>
    <w:uiPriority w:val="0"/>
    <w:pPr>
      <w:jc w:val="left"/>
    </w:pPr>
  </w:style>
  <w:style w:type="paragraph" w:styleId="18">
    <w:name w:val="Body Text 3"/>
    <w:basedOn w:val="1"/>
    <w:link w:val="59"/>
    <w:unhideWhenUsed/>
    <w:qFormat/>
    <w:uiPriority w:val="0"/>
    <w:rPr>
      <w:rFonts w:ascii="宋体" w:hAnsiTheme="minorHAnsi" w:eastAsiaTheme="minorEastAsia" w:cstheme="minorBidi"/>
      <w:sz w:val="24"/>
      <w:szCs w:val="22"/>
    </w:rPr>
  </w:style>
  <w:style w:type="paragraph" w:styleId="19">
    <w:name w:val="Body Text Indent"/>
    <w:basedOn w:val="1"/>
    <w:link w:val="66"/>
    <w:unhideWhenUsed/>
    <w:qFormat/>
    <w:uiPriority w:val="0"/>
    <w:pPr>
      <w:ind w:firstLine="489" w:firstLineChars="178"/>
    </w:pPr>
    <w:rPr>
      <w:sz w:val="28"/>
      <w:szCs w:val="28"/>
    </w:rPr>
  </w:style>
  <w:style w:type="paragraph" w:styleId="20">
    <w:name w:val="toc 5"/>
    <w:basedOn w:val="1"/>
    <w:next w:val="1"/>
    <w:unhideWhenUsed/>
    <w:qFormat/>
    <w:uiPriority w:val="39"/>
    <w:pPr>
      <w:ind w:left="1680" w:leftChars="800"/>
    </w:pPr>
    <w:rPr>
      <w:rFonts w:ascii="Calibri" w:hAnsi="Calibri"/>
      <w:szCs w:val="22"/>
    </w:rPr>
  </w:style>
  <w:style w:type="paragraph" w:styleId="21">
    <w:name w:val="toc 3"/>
    <w:basedOn w:val="1"/>
    <w:next w:val="1"/>
    <w:unhideWhenUsed/>
    <w:qFormat/>
    <w:uiPriority w:val="39"/>
    <w:pPr>
      <w:ind w:left="840" w:leftChars="400"/>
    </w:pPr>
  </w:style>
  <w:style w:type="paragraph" w:styleId="22">
    <w:name w:val="Plain Text"/>
    <w:basedOn w:val="1"/>
    <w:link w:val="61"/>
    <w:unhideWhenUsed/>
    <w:qFormat/>
    <w:uiPriority w:val="0"/>
    <w:rPr>
      <w:rFonts w:ascii="Courier New" w:hAnsi="Courier New" w:eastAsiaTheme="minorEastAsia" w:cstheme="minorBidi"/>
      <w:szCs w:val="22"/>
    </w:rPr>
  </w:style>
  <w:style w:type="paragraph" w:styleId="23">
    <w:name w:val="toc 8"/>
    <w:basedOn w:val="1"/>
    <w:next w:val="1"/>
    <w:unhideWhenUsed/>
    <w:qFormat/>
    <w:uiPriority w:val="39"/>
    <w:pPr>
      <w:ind w:left="2940" w:leftChars="1400"/>
    </w:pPr>
    <w:rPr>
      <w:rFonts w:ascii="Calibri" w:hAnsi="Calibri"/>
      <w:szCs w:val="22"/>
    </w:rPr>
  </w:style>
  <w:style w:type="paragraph" w:styleId="24">
    <w:name w:val="Date"/>
    <w:basedOn w:val="1"/>
    <w:next w:val="1"/>
    <w:link w:val="78"/>
    <w:unhideWhenUsed/>
    <w:qFormat/>
    <w:uiPriority w:val="99"/>
    <w:pPr>
      <w:ind w:left="100" w:leftChars="2500"/>
    </w:pPr>
    <w:rPr>
      <w:rFonts w:asciiTheme="minorHAnsi" w:hAnsiTheme="minorHAnsi" w:eastAsiaTheme="minorEastAsia" w:cstheme="minorBidi"/>
    </w:rPr>
  </w:style>
  <w:style w:type="paragraph" w:styleId="25">
    <w:name w:val="Balloon Text"/>
    <w:basedOn w:val="1"/>
    <w:link w:val="62"/>
    <w:unhideWhenUsed/>
    <w:qFormat/>
    <w:uiPriority w:val="99"/>
    <w:rPr>
      <w:rFonts w:asciiTheme="minorHAnsi" w:hAnsiTheme="minorHAnsi" w:eastAsiaTheme="minorEastAsia" w:cstheme="minorBidi"/>
      <w:sz w:val="18"/>
      <w:szCs w:val="18"/>
    </w:rPr>
  </w:style>
  <w:style w:type="paragraph" w:styleId="26">
    <w:name w:val="footer"/>
    <w:basedOn w:val="1"/>
    <w:link w:val="48"/>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27">
    <w:name w:val="header"/>
    <w:basedOn w:val="1"/>
    <w:link w:val="47"/>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28">
    <w:name w:val="toc 1"/>
    <w:basedOn w:val="1"/>
    <w:next w:val="1"/>
    <w:unhideWhenUsed/>
    <w:qFormat/>
    <w:uiPriority w:val="39"/>
    <w:pPr>
      <w:spacing w:before="120" w:after="120"/>
      <w:jc w:val="left"/>
    </w:pPr>
    <w:rPr>
      <w:b/>
      <w:bCs/>
      <w:caps/>
      <w:sz w:val="20"/>
      <w:szCs w:val="20"/>
    </w:rPr>
  </w:style>
  <w:style w:type="paragraph" w:styleId="29">
    <w:name w:val="toc 4"/>
    <w:basedOn w:val="1"/>
    <w:next w:val="1"/>
    <w:unhideWhenUsed/>
    <w:qFormat/>
    <w:uiPriority w:val="39"/>
    <w:pPr>
      <w:ind w:left="1260" w:leftChars="600"/>
    </w:pPr>
    <w:rPr>
      <w:rFonts w:ascii="Calibri" w:hAnsi="Calibri"/>
      <w:szCs w:val="22"/>
    </w:rPr>
  </w:style>
  <w:style w:type="paragraph" w:styleId="30">
    <w:name w:val="footnote text"/>
    <w:basedOn w:val="1"/>
    <w:link w:val="105"/>
    <w:qFormat/>
    <w:uiPriority w:val="0"/>
    <w:rPr>
      <w:sz w:val="20"/>
      <w:szCs w:val="20"/>
    </w:rPr>
  </w:style>
  <w:style w:type="paragraph" w:styleId="31">
    <w:name w:val="toc 6"/>
    <w:basedOn w:val="1"/>
    <w:next w:val="1"/>
    <w:unhideWhenUsed/>
    <w:qFormat/>
    <w:uiPriority w:val="39"/>
    <w:pPr>
      <w:ind w:left="2100" w:leftChars="1000"/>
    </w:pPr>
    <w:rPr>
      <w:rFonts w:ascii="Calibri" w:hAnsi="Calibri"/>
      <w:szCs w:val="22"/>
    </w:rPr>
  </w:style>
  <w:style w:type="paragraph" w:styleId="32">
    <w:name w:val="Body Text Indent 3"/>
    <w:basedOn w:val="1"/>
    <w:link w:val="97"/>
    <w:qFormat/>
    <w:uiPriority w:val="0"/>
    <w:pPr>
      <w:spacing w:after="120"/>
      <w:ind w:left="420" w:leftChars="200"/>
    </w:pPr>
    <w:rPr>
      <w:sz w:val="16"/>
      <w:szCs w:val="16"/>
    </w:rPr>
  </w:style>
  <w:style w:type="paragraph" w:styleId="33">
    <w:name w:val="table of figures"/>
    <w:basedOn w:val="1"/>
    <w:next w:val="1"/>
    <w:qFormat/>
    <w:uiPriority w:val="0"/>
    <w:pPr>
      <w:ind w:left="200" w:leftChars="200" w:hanging="200" w:hangingChars="200"/>
    </w:pPr>
  </w:style>
  <w:style w:type="paragraph" w:styleId="34">
    <w:name w:val="toc 2"/>
    <w:basedOn w:val="1"/>
    <w:next w:val="1"/>
    <w:unhideWhenUsed/>
    <w:qFormat/>
    <w:uiPriority w:val="39"/>
    <w:pPr>
      <w:ind w:left="210"/>
      <w:jc w:val="left"/>
    </w:pPr>
    <w:rPr>
      <w:smallCaps/>
      <w:sz w:val="20"/>
      <w:szCs w:val="20"/>
    </w:rPr>
  </w:style>
  <w:style w:type="paragraph" w:styleId="35">
    <w:name w:val="toc 9"/>
    <w:basedOn w:val="1"/>
    <w:next w:val="1"/>
    <w:unhideWhenUsed/>
    <w:qFormat/>
    <w:uiPriority w:val="39"/>
    <w:pPr>
      <w:ind w:left="3360" w:leftChars="1600"/>
    </w:pPr>
    <w:rPr>
      <w:rFonts w:ascii="Calibri" w:hAnsi="Calibri"/>
      <w:szCs w:val="22"/>
    </w:rPr>
  </w:style>
  <w:style w:type="paragraph" w:styleId="36">
    <w:name w:val="Title"/>
    <w:basedOn w:val="1"/>
    <w:next w:val="1"/>
    <w:link w:val="82"/>
    <w:qFormat/>
    <w:uiPriority w:val="0"/>
    <w:pPr>
      <w:numPr>
        <w:ilvl w:val="1"/>
        <w:numId w:val="1"/>
      </w:numPr>
      <w:spacing w:before="240" w:after="60"/>
      <w:jc w:val="center"/>
      <w:outlineLvl w:val="0"/>
    </w:pPr>
    <w:rPr>
      <w:rFonts w:ascii="Cambria" w:hAnsi="Cambria"/>
      <w:b/>
      <w:bCs/>
      <w:sz w:val="32"/>
      <w:szCs w:val="32"/>
    </w:rPr>
  </w:style>
  <w:style w:type="paragraph" w:styleId="37">
    <w:name w:val="annotation subject"/>
    <w:basedOn w:val="17"/>
    <w:next w:val="17"/>
    <w:link w:val="60"/>
    <w:unhideWhenUsed/>
    <w:qFormat/>
    <w:uiPriority w:val="99"/>
    <w:rPr>
      <w:rFonts w:asciiTheme="minorHAnsi" w:hAnsiTheme="minorHAnsi" w:eastAsiaTheme="minorEastAsia" w:cstheme="minorBidi"/>
      <w:b/>
      <w:bCs/>
    </w:rPr>
  </w:style>
  <w:style w:type="table" w:styleId="39">
    <w:name w:val="Table Grid"/>
    <w:basedOn w:val="38"/>
    <w:unhideWhenUsed/>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basedOn w:val="40"/>
    <w:qFormat/>
    <w:uiPriority w:val="22"/>
    <w:rPr>
      <w:b/>
      <w:bCs/>
    </w:rPr>
  </w:style>
  <w:style w:type="character" w:styleId="42">
    <w:name w:val="page number"/>
    <w:unhideWhenUsed/>
    <w:qFormat/>
    <w:uiPriority w:val="0"/>
  </w:style>
  <w:style w:type="character" w:styleId="43">
    <w:name w:val="FollowedHyperlink"/>
    <w:unhideWhenUsed/>
    <w:qFormat/>
    <w:uiPriority w:val="0"/>
    <w:rPr>
      <w:color w:val="800080"/>
      <w:u w:val="single"/>
    </w:rPr>
  </w:style>
  <w:style w:type="character" w:styleId="44">
    <w:name w:val="Hyperlink"/>
    <w:unhideWhenUsed/>
    <w:qFormat/>
    <w:uiPriority w:val="99"/>
    <w:rPr>
      <w:color w:val="0000FF"/>
      <w:u w:val="single"/>
    </w:rPr>
  </w:style>
  <w:style w:type="character" w:styleId="45">
    <w:name w:val="annotation reference"/>
    <w:unhideWhenUsed/>
    <w:qFormat/>
    <w:uiPriority w:val="0"/>
    <w:rPr>
      <w:sz w:val="21"/>
      <w:szCs w:val="21"/>
    </w:rPr>
  </w:style>
  <w:style w:type="character" w:styleId="46">
    <w:name w:val="footnote reference"/>
    <w:qFormat/>
    <w:uiPriority w:val="0"/>
    <w:rPr>
      <w:vertAlign w:val="superscript"/>
    </w:rPr>
  </w:style>
  <w:style w:type="character" w:customStyle="1" w:styleId="47">
    <w:name w:val="页眉 Char"/>
    <w:basedOn w:val="40"/>
    <w:link w:val="27"/>
    <w:qFormat/>
    <w:uiPriority w:val="0"/>
    <w:rPr>
      <w:sz w:val="18"/>
      <w:szCs w:val="18"/>
    </w:rPr>
  </w:style>
  <w:style w:type="character" w:customStyle="1" w:styleId="48">
    <w:name w:val="页脚 Char"/>
    <w:basedOn w:val="40"/>
    <w:link w:val="26"/>
    <w:qFormat/>
    <w:uiPriority w:val="99"/>
    <w:rPr>
      <w:sz w:val="18"/>
      <w:szCs w:val="18"/>
    </w:rPr>
  </w:style>
  <w:style w:type="character" w:customStyle="1" w:styleId="49">
    <w:name w:val="标题 1 Char"/>
    <w:basedOn w:val="40"/>
    <w:link w:val="5"/>
    <w:qFormat/>
    <w:uiPriority w:val="0"/>
    <w:rPr>
      <w:rFonts w:ascii="Times New Roman" w:hAnsi="Times New Roman" w:eastAsia="宋体" w:cs="Times New Roman"/>
      <w:b/>
      <w:bCs/>
      <w:kern w:val="44"/>
      <w:sz w:val="44"/>
      <w:szCs w:val="44"/>
    </w:rPr>
  </w:style>
  <w:style w:type="character" w:customStyle="1" w:styleId="50">
    <w:name w:val="标题 2 Char"/>
    <w:basedOn w:val="40"/>
    <w:link w:val="6"/>
    <w:qFormat/>
    <w:uiPriority w:val="9"/>
    <w:rPr>
      <w:rFonts w:ascii="Arial" w:hAnsi="Arial" w:eastAsia="黑体" w:cs="Times New Roman"/>
      <w:b/>
      <w:bCs/>
      <w:sz w:val="32"/>
      <w:szCs w:val="32"/>
    </w:rPr>
  </w:style>
  <w:style w:type="character" w:customStyle="1" w:styleId="51">
    <w:name w:val="标题 3 Char"/>
    <w:basedOn w:val="40"/>
    <w:link w:val="7"/>
    <w:qFormat/>
    <w:uiPriority w:val="0"/>
    <w:rPr>
      <w:rFonts w:ascii="Times New Roman" w:hAnsi="Times New Roman" w:eastAsia="宋体" w:cs="Times New Roman"/>
      <w:b/>
      <w:bCs/>
      <w:sz w:val="32"/>
      <w:szCs w:val="32"/>
    </w:rPr>
  </w:style>
  <w:style w:type="character" w:customStyle="1" w:styleId="52">
    <w:name w:val="标题 4 Char"/>
    <w:basedOn w:val="40"/>
    <w:link w:val="8"/>
    <w:qFormat/>
    <w:uiPriority w:val="0"/>
    <w:rPr>
      <w:rFonts w:ascii="Cambria" w:hAnsi="Cambria" w:eastAsia="宋体" w:cs="黑体"/>
      <w:b/>
      <w:bCs/>
      <w:sz w:val="28"/>
      <w:szCs w:val="28"/>
    </w:rPr>
  </w:style>
  <w:style w:type="character" w:customStyle="1" w:styleId="53">
    <w:name w:val="标题 6 Char"/>
    <w:basedOn w:val="40"/>
    <w:semiHidden/>
    <w:qFormat/>
    <w:uiPriority w:val="9"/>
    <w:rPr>
      <w:rFonts w:asciiTheme="majorHAnsi" w:hAnsiTheme="majorHAnsi" w:eastAsiaTheme="majorEastAsia" w:cstheme="majorBidi"/>
      <w:b/>
      <w:bCs/>
      <w:sz w:val="24"/>
      <w:szCs w:val="24"/>
    </w:rPr>
  </w:style>
  <w:style w:type="character" w:customStyle="1" w:styleId="54">
    <w:name w:val="标题 7 Char"/>
    <w:basedOn w:val="40"/>
    <w:semiHidden/>
    <w:qFormat/>
    <w:uiPriority w:val="9"/>
    <w:rPr>
      <w:rFonts w:ascii="Times New Roman" w:hAnsi="Times New Roman" w:eastAsia="宋体" w:cs="Times New Roman"/>
      <w:b/>
      <w:bCs/>
      <w:sz w:val="24"/>
      <w:szCs w:val="24"/>
    </w:rPr>
  </w:style>
  <w:style w:type="character" w:customStyle="1" w:styleId="55">
    <w:name w:val="标题 8 Char"/>
    <w:basedOn w:val="40"/>
    <w:semiHidden/>
    <w:qFormat/>
    <w:uiPriority w:val="9"/>
    <w:rPr>
      <w:rFonts w:asciiTheme="majorHAnsi" w:hAnsiTheme="majorHAnsi" w:eastAsiaTheme="majorEastAsia" w:cstheme="majorBidi"/>
      <w:sz w:val="24"/>
      <w:szCs w:val="24"/>
    </w:rPr>
  </w:style>
  <w:style w:type="character" w:customStyle="1" w:styleId="56">
    <w:name w:val="标题 9 Char"/>
    <w:basedOn w:val="40"/>
    <w:semiHidden/>
    <w:qFormat/>
    <w:uiPriority w:val="9"/>
    <w:rPr>
      <w:rFonts w:asciiTheme="majorHAnsi" w:hAnsiTheme="majorHAnsi" w:eastAsiaTheme="majorEastAsia" w:cstheme="majorBidi"/>
      <w:szCs w:val="21"/>
    </w:rPr>
  </w:style>
  <w:style w:type="character" w:customStyle="1" w:styleId="57">
    <w:name w:val="批注文字 Char1"/>
    <w:qFormat/>
    <w:uiPriority w:val="99"/>
    <w:rPr>
      <w:kern w:val="2"/>
      <w:sz w:val="21"/>
    </w:rPr>
  </w:style>
  <w:style w:type="character" w:customStyle="1" w:styleId="58">
    <w:name w:val="批注文字 Char"/>
    <w:qFormat/>
    <w:uiPriority w:val="0"/>
    <w:rPr>
      <w:rFonts w:ascii="Times New Roman" w:hAnsi="Times New Roman"/>
      <w:kern w:val="2"/>
      <w:sz w:val="21"/>
    </w:rPr>
  </w:style>
  <w:style w:type="character" w:customStyle="1" w:styleId="59">
    <w:name w:val="正文文本 3 Char"/>
    <w:link w:val="18"/>
    <w:qFormat/>
    <w:uiPriority w:val="0"/>
    <w:rPr>
      <w:rFonts w:ascii="宋体"/>
      <w:sz w:val="24"/>
    </w:rPr>
  </w:style>
  <w:style w:type="character" w:customStyle="1" w:styleId="60">
    <w:name w:val="批注主题 Char"/>
    <w:link w:val="37"/>
    <w:qFormat/>
    <w:uiPriority w:val="99"/>
    <w:rPr>
      <w:b/>
      <w:bCs/>
      <w:szCs w:val="24"/>
    </w:rPr>
  </w:style>
  <w:style w:type="character" w:customStyle="1" w:styleId="61">
    <w:name w:val="纯文本 Char"/>
    <w:link w:val="22"/>
    <w:qFormat/>
    <w:uiPriority w:val="0"/>
    <w:rPr>
      <w:rFonts w:ascii="Courier New" w:hAnsi="Courier New"/>
    </w:rPr>
  </w:style>
  <w:style w:type="character" w:customStyle="1" w:styleId="62">
    <w:name w:val="批注框文本 Char"/>
    <w:link w:val="25"/>
    <w:qFormat/>
    <w:uiPriority w:val="99"/>
    <w:rPr>
      <w:sz w:val="18"/>
      <w:szCs w:val="18"/>
    </w:rPr>
  </w:style>
  <w:style w:type="character" w:customStyle="1" w:styleId="63">
    <w:name w:val="批注文字 Char2"/>
    <w:basedOn w:val="40"/>
    <w:link w:val="17"/>
    <w:semiHidden/>
    <w:qFormat/>
    <w:uiPriority w:val="99"/>
    <w:rPr>
      <w:rFonts w:ascii="Times New Roman" w:hAnsi="Times New Roman" w:eastAsia="宋体" w:cs="Times New Roman"/>
      <w:szCs w:val="24"/>
    </w:rPr>
  </w:style>
  <w:style w:type="character" w:customStyle="1" w:styleId="64">
    <w:name w:val="批注主题 Char1"/>
    <w:basedOn w:val="63"/>
    <w:semiHidden/>
    <w:qFormat/>
    <w:uiPriority w:val="99"/>
    <w:rPr>
      <w:rFonts w:ascii="Times New Roman" w:hAnsi="Times New Roman" w:eastAsia="宋体" w:cs="Times New Roman"/>
      <w:b/>
      <w:bCs/>
      <w:szCs w:val="24"/>
    </w:rPr>
  </w:style>
  <w:style w:type="character" w:customStyle="1" w:styleId="65">
    <w:name w:val="纯文本 Char1"/>
    <w:basedOn w:val="40"/>
    <w:semiHidden/>
    <w:qFormat/>
    <w:uiPriority w:val="99"/>
    <w:rPr>
      <w:rFonts w:ascii="宋体" w:hAnsi="Courier New" w:eastAsia="宋体" w:cs="Courier New"/>
      <w:szCs w:val="21"/>
    </w:rPr>
  </w:style>
  <w:style w:type="character" w:customStyle="1" w:styleId="66">
    <w:name w:val="正文文本缩进 Char"/>
    <w:basedOn w:val="40"/>
    <w:link w:val="19"/>
    <w:qFormat/>
    <w:uiPriority w:val="0"/>
    <w:rPr>
      <w:rFonts w:ascii="Times New Roman" w:hAnsi="Times New Roman" w:eastAsia="宋体" w:cs="Times New Roman"/>
      <w:sz w:val="28"/>
      <w:szCs w:val="28"/>
    </w:rPr>
  </w:style>
  <w:style w:type="character" w:customStyle="1" w:styleId="67">
    <w:name w:val="正文文本 3 Char1"/>
    <w:basedOn w:val="40"/>
    <w:semiHidden/>
    <w:qFormat/>
    <w:uiPriority w:val="99"/>
    <w:rPr>
      <w:rFonts w:ascii="Times New Roman" w:hAnsi="Times New Roman" w:eastAsia="宋体" w:cs="Times New Roman"/>
      <w:sz w:val="16"/>
      <w:szCs w:val="16"/>
    </w:rPr>
  </w:style>
  <w:style w:type="character" w:customStyle="1" w:styleId="68">
    <w:name w:val="批注框文本 Char1"/>
    <w:basedOn w:val="40"/>
    <w:semiHidden/>
    <w:qFormat/>
    <w:uiPriority w:val="99"/>
    <w:rPr>
      <w:rFonts w:ascii="Times New Roman" w:hAnsi="Times New Roman" w:eastAsia="宋体" w:cs="Times New Roman"/>
      <w:sz w:val="18"/>
      <w:szCs w:val="18"/>
    </w:rPr>
  </w:style>
  <w:style w:type="character" w:customStyle="1" w:styleId="69">
    <w:name w:val="正文文本 Char"/>
    <w:basedOn w:val="40"/>
    <w:link w:val="2"/>
    <w:qFormat/>
    <w:uiPriority w:val="0"/>
    <w:rPr>
      <w:rFonts w:ascii="Times New Roman" w:hAnsi="Times New Roman" w:eastAsia="宋体" w:cs="Times New Roman"/>
      <w:sz w:val="28"/>
      <w:szCs w:val="20"/>
    </w:rPr>
  </w:style>
  <w:style w:type="paragraph" w:customStyle="1" w:styleId="70">
    <w:name w:val="列出段落1"/>
    <w:basedOn w:val="1"/>
    <w:qFormat/>
    <w:uiPriority w:val="34"/>
    <w:pPr>
      <w:ind w:firstLine="420" w:firstLineChars="200"/>
    </w:pPr>
  </w:style>
  <w:style w:type="paragraph" w:customStyle="1" w:styleId="71">
    <w:name w:val="bt1bt1"/>
    <w:basedOn w:val="5"/>
    <w:qFormat/>
    <w:uiPriority w:val="0"/>
    <w:pPr>
      <w:spacing w:line="240" w:lineRule="auto"/>
      <w:jc w:val="center"/>
    </w:pPr>
    <w:rPr>
      <w:rFonts w:ascii="黑体" w:eastAsia="黑体"/>
      <w:b w:val="0"/>
      <w:sz w:val="36"/>
      <w:szCs w:val="36"/>
    </w:rPr>
  </w:style>
  <w:style w:type="paragraph" w:customStyle="1" w:styleId="72">
    <w:name w:val="节"/>
    <w:basedOn w:val="6"/>
    <w:qFormat/>
    <w:uiPriority w:val="0"/>
    <w:pPr>
      <w:numPr>
        <w:ilvl w:val="2"/>
        <w:numId w:val="1"/>
      </w:numPr>
      <w:tabs>
        <w:tab w:val="left" w:pos="360"/>
        <w:tab w:val="left" w:pos="576"/>
      </w:tabs>
      <w:spacing w:line="240" w:lineRule="auto"/>
      <w:ind w:left="840" w:hanging="420"/>
    </w:pPr>
    <w:rPr>
      <w:rFonts w:ascii="黑体"/>
      <w:b w:val="0"/>
      <w:sz w:val="28"/>
      <w:szCs w:val="28"/>
    </w:rPr>
  </w:style>
  <w:style w:type="paragraph" w:customStyle="1" w:styleId="73">
    <w:name w:val="样式 标题 3 + (中文) 黑体 小四 非加粗 段前: 7.8 磅 段后: 0 磅 行距: 固定值 20 磅"/>
    <w:basedOn w:val="7"/>
    <w:qFormat/>
    <w:uiPriority w:val="0"/>
    <w:pPr>
      <w:spacing w:before="0" w:after="0" w:line="400" w:lineRule="exact"/>
    </w:pPr>
    <w:rPr>
      <w:rFonts w:eastAsia="黑体" w:cs="宋体"/>
      <w:b w:val="0"/>
      <w:bCs w:val="0"/>
      <w:sz w:val="24"/>
      <w:szCs w:val="20"/>
    </w:rPr>
  </w:style>
  <w:style w:type="paragraph" w:customStyle="1" w:styleId="74">
    <w:name w:val="Blockquote"/>
    <w:basedOn w:val="1"/>
    <w:qFormat/>
    <w:uiPriority w:val="0"/>
    <w:pPr>
      <w:autoSpaceDE w:val="0"/>
      <w:autoSpaceDN w:val="0"/>
      <w:adjustRightInd w:val="0"/>
      <w:spacing w:before="100" w:after="100"/>
      <w:ind w:left="360" w:right="360"/>
      <w:jc w:val="left"/>
    </w:pPr>
    <w:rPr>
      <w:kern w:val="0"/>
      <w:sz w:val="24"/>
    </w:rPr>
  </w:style>
  <w:style w:type="paragraph" w:customStyle="1" w:styleId="75">
    <w:name w:val="样式 标题 2 + Times New Roman 四号 非加粗 段前: 5 磅 段后: 0 磅 行距: 固定值 20..."/>
    <w:basedOn w:val="6"/>
    <w:qFormat/>
    <w:uiPriority w:val="0"/>
    <w:pPr>
      <w:spacing w:before="100" w:after="0" w:line="400" w:lineRule="exact"/>
    </w:pPr>
    <w:rPr>
      <w:rFonts w:ascii="Times New Roman" w:hAnsi="Times New Roman" w:cs="宋体"/>
      <w:b w:val="0"/>
      <w:bCs w:val="0"/>
      <w:sz w:val="28"/>
      <w:szCs w:val="20"/>
    </w:rPr>
  </w:style>
  <w:style w:type="paragraph" w:customStyle="1" w:styleId="76">
    <w:name w:val="样式1"/>
    <w:basedOn w:val="1"/>
    <w:qFormat/>
    <w:uiPriority w:val="0"/>
    <w:rPr>
      <w:szCs w:val="21"/>
      <w:lang w:val="zh-CN"/>
    </w:rPr>
  </w:style>
  <w:style w:type="paragraph" w:customStyle="1" w:styleId="77">
    <w:name w:val="Revision"/>
    <w:unhideWhenUsed/>
    <w:qFormat/>
    <w:uiPriority w:val="99"/>
    <w:rPr>
      <w:rFonts w:ascii="Times New Roman" w:hAnsi="Times New Roman" w:eastAsia="宋体" w:cs="Times New Roman"/>
      <w:kern w:val="2"/>
      <w:sz w:val="21"/>
      <w:szCs w:val="24"/>
      <w:lang w:val="en-US" w:eastAsia="zh-CN" w:bidi="ar-SA"/>
    </w:rPr>
  </w:style>
  <w:style w:type="character" w:customStyle="1" w:styleId="78">
    <w:name w:val="日期 Char"/>
    <w:link w:val="24"/>
    <w:qFormat/>
    <w:uiPriority w:val="99"/>
    <w:rPr>
      <w:szCs w:val="24"/>
    </w:rPr>
  </w:style>
  <w:style w:type="character" w:customStyle="1" w:styleId="79">
    <w:name w:val="文档结构图 Char"/>
    <w:link w:val="16"/>
    <w:qFormat/>
    <w:uiPriority w:val="99"/>
    <w:rPr>
      <w:rFonts w:ascii="宋体"/>
      <w:sz w:val="18"/>
      <w:szCs w:val="18"/>
    </w:rPr>
  </w:style>
  <w:style w:type="character" w:customStyle="1" w:styleId="80">
    <w:name w:val="日期 Char1"/>
    <w:basedOn w:val="40"/>
    <w:semiHidden/>
    <w:qFormat/>
    <w:uiPriority w:val="99"/>
    <w:rPr>
      <w:rFonts w:ascii="Times New Roman" w:hAnsi="Times New Roman" w:eastAsia="宋体" w:cs="Times New Roman"/>
      <w:szCs w:val="24"/>
    </w:rPr>
  </w:style>
  <w:style w:type="character" w:customStyle="1" w:styleId="81">
    <w:name w:val="文档结构图 Char1"/>
    <w:basedOn w:val="40"/>
    <w:semiHidden/>
    <w:qFormat/>
    <w:uiPriority w:val="99"/>
    <w:rPr>
      <w:rFonts w:ascii="宋体" w:hAnsi="Times New Roman" w:eastAsia="宋体" w:cs="Times New Roman"/>
      <w:sz w:val="18"/>
      <w:szCs w:val="18"/>
    </w:rPr>
  </w:style>
  <w:style w:type="character" w:customStyle="1" w:styleId="82">
    <w:name w:val="标题 Char"/>
    <w:basedOn w:val="40"/>
    <w:link w:val="36"/>
    <w:qFormat/>
    <w:uiPriority w:val="0"/>
    <w:rPr>
      <w:rFonts w:ascii="Cambria" w:hAnsi="Cambria" w:eastAsia="宋体" w:cs="Times New Roman"/>
      <w:b/>
      <w:bCs/>
      <w:sz w:val="32"/>
      <w:szCs w:val="32"/>
    </w:rPr>
  </w:style>
  <w:style w:type="character" w:customStyle="1" w:styleId="83">
    <w:name w:val="editmail"/>
    <w:qFormat/>
    <w:uiPriority w:val="0"/>
  </w:style>
  <w:style w:type="character" w:customStyle="1" w:styleId="84">
    <w:name w:val="页脚 字符"/>
    <w:qFormat/>
    <w:uiPriority w:val="99"/>
  </w:style>
  <w:style w:type="character" w:customStyle="1" w:styleId="85">
    <w:name w:val="标题 6 Char1"/>
    <w:link w:val="9"/>
    <w:qFormat/>
    <w:uiPriority w:val="0"/>
    <w:rPr>
      <w:rFonts w:ascii="Arial" w:hAnsi="Arial" w:eastAsia="黑体" w:cs="Times New Roman"/>
      <w:b/>
      <w:bCs/>
      <w:kern w:val="0"/>
      <w:sz w:val="24"/>
      <w:szCs w:val="24"/>
    </w:rPr>
  </w:style>
  <w:style w:type="character" w:customStyle="1" w:styleId="86">
    <w:name w:val="标题 7 Char1"/>
    <w:link w:val="10"/>
    <w:qFormat/>
    <w:uiPriority w:val="0"/>
    <w:rPr>
      <w:rFonts w:ascii="Times New Roman" w:hAnsi="Times New Roman" w:eastAsia="宋体" w:cs="Times New Roman"/>
      <w:b/>
      <w:bCs/>
      <w:kern w:val="0"/>
      <w:sz w:val="24"/>
      <w:szCs w:val="24"/>
    </w:rPr>
  </w:style>
  <w:style w:type="character" w:customStyle="1" w:styleId="87">
    <w:name w:val="标题 8 Char1"/>
    <w:link w:val="11"/>
    <w:qFormat/>
    <w:uiPriority w:val="0"/>
    <w:rPr>
      <w:rFonts w:ascii="Arial" w:hAnsi="Arial" w:eastAsia="黑体" w:cs="Times New Roman"/>
      <w:kern w:val="0"/>
      <w:sz w:val="24"/>
      <w:szCs w:val="24"/>
    </w:rPr>
  </w:style>
  <w:style w:type="character" w:customStyle="1" w:styleId="88">
    <w:name w:val="标题 9 Char1"/>
    <w:link w:val="12"/>
    <w:qFormat/>
    <w:uiPriority w:val="0"/>
    <w:rPr>
      <w:rFonts w:ascii="Arial" w:hAnsi="Arial" w:eastAsia="黑体" w:cs="Times New Roman"/>
      <w:kern w:val="0"/>
      <w:szCs w:val="21"/>
    </w:rPr>
  </w:style>
  <w:style w:type="character" w:customStyle="1" w:styleId="89">
    <w:name w:val="Char Char8"/>
    <w:qFormat/>
    <w:uiPriority w:val="0"/>
    <w:rPr>
      <w:rFonts w:ascii="Arial" w:hAnsi="Arial" w:eastAsia="黑体"/>
      <w:b/>
      <w:bCs/>
      <w:kern w:val="2"/>
      <w:sz w:val="32"/>
      <w:szCs w:val="32"/>
      <w:lang w:val="en-US" w:eastAsia="zh-CN" w:bidi="ar-SA"/>
    </w:rPr>
  </w:style>
  <w:style w:type="character" w:customStyle="1" w:styleId="90">
    <w:name w:val="Char Char"/>
    <w:qFormat/>
    <w:uiPriority w:val="0"/>
    <w:rPr>
      <w:rFonts w:ascii="Arial" w:hAnsi="Arial" w:eastAsia="黑体"/>
      <w:b/>
      <w:bCs/>
      <w:kern w:val="2"/>
      <w:sz w:val="32"/>
      <w:szCs w:val="32"/>
      <w:lang w:val="en-US" w:eastAsia="zh-CN" w:bidi="ar-SA"/>
    </w:rPr>
  </w:style>
  <w:style w:type="character" w:customStyle="1" w:styleId="91">
    <w:name w:val="font161"/>
    <w:qFormat/>
    <w:uiPriority w:val="0"/>
    <w:rPr>
      <w:b/>
      <w:bCs/>
      <w:sz w:val="32"/>
      <w:szCs w:val="32"/>
    </w:rPr>
  </w:style>
  <w:style w:type="character" w:customStyle="1" w:styleId="92">
    <w:name w:val="Char Char2"/>
    <w:qFormat/>
    <w:uiPriority w:val="0"/>
    <w:rPr>
      <w:rFonts w:eastAsia="宋体"/>
      <w:kern w:val="2"/>
      <w:sz w:val="21"/>
      <w:szCs w:val="24"/>
      <w:lang w:val="en-US" w:eastAsia="zh-CN" w:bidi="ar-SA"/>
    </w:rPr>
  </w:style>
  <w:style w:type="character" w:customStyle="1" w:styleId="93">
    <w:name w:val="Char Char7"/>
    <w:qFormat/>
    <w:uiPriority w:val="0"/>
    <w:rPr>
      <w:rFonts w:ascii="Arial" w:hAnsi="Arial" w:eastAsia="黑体"/>
      <w:b/>
      <w:bCs/>
      <w:kern w:val="2"/>
      <w:sz w:val="32"/>
      <w:szCs w:val="32"/>
      <w:lang w:val="en-US" w:eastAsia="zh-CN" w:bidi="ar-SA"/>
    </w:rPr>
  </w:style>
  <w:style w:type="paragraph" w:customStyle="1" w:styleId="94">
    <w:name w:val="样式4"/>
    <w:basedOn w:val="7"/>
    <w:qFormat/>
    <w:uiPriority w:val="0"/>
    <w:pPr>
      <w:spacing w:line="415" w:lineRule="auto"/>
    </w:pPr>
    <w:rPr>
      <w:rFonts w:eastAsia="Arial"/>
      <w:lang w:val="zh-CN" w:eastAsia="zh-CN"/>
    </w:rPr>
  </w:style>
  <w:style w:type="paragraph" w:customStyle="1" w:styleId="9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character" w:customStyle="1" w:styleId="96">
    <w:name w:val="正文文本缩进 3 Char"/>
    <w:basedOn w:val="40"/>
    <w:semiHidden/>
    <w:qFormat/>
    <w:uiPriority w:val="99"/>
    <w:rPr>
      <w:rFonts w:ascii="Times New Roman" w:hAnsi="Times New Roman" w:eastAsia="宋体" w:cs="Times New Roman"/>
      <w:sz w:val="16"/>
      <w:szCs w:val="16"/>
    </w:rPr>
  </w:style>
  <w:style w:type="character" w:customStyle="1" w:styleId="97">
    <w:name w:val="正文文本缩进 3 Char1"/>
    <w:link w:val="32"/>
    <w:qFormat/>
    <w:uiPriority w:val="0"/>
    <w:rPr>
      <w:rFonts w:ascii="Times New Roman" w:hAnsi="Times New Roman" w:eastAsia="宋体" w:cs="Times New Roman"/>
      <w:sz w:val="16"/>
      <w:szCs w:val="16"/>
    </w:rPr>
  </w:style>
  <w:style w:type="paragraph" w:customStyle="1" w:styleId="98">
    <w:name w:val="1"/>
    <w:basedOn w:val="1"/>
    <w:next w:val="1"/>
    <w:qFormat/>
    <w:uiPriority w:val="0"/>
  </w:style>
  <w:style w:type="paragraph" w:customStyle="1" w:styleId="99">
    <w:name w:val="样式 标题 1 + 黑体 三号 非加粗 居中 段前: 6 磅 段后: 6 磅 行距: 固定值 20 磅"/>
    <w:basedOn w:val="5"/>
    <w:qFormat/>
    <w:uiPriority w:val="0"/>
    <w:pPr>
      <w:spacing w:before="120" w:after="120" w:line="400" w:lineRule="exact"/>
      <w:jc w:val="center"/>
    </w:pPr>
    <w:rPr>
      <w:rFonts w:ascii="黑体" w:hAnsi="黑体" w:eastAsia="黑体" w:cs="宋体"/>
      <w:b w:val="0"/>
      <w:bCs w:val="0"/>
      <w:sz w:val="32"/>
      <w:szCs w:val="20"/>
    </w:rPr>
  </w:style>
  <w:style w:type="paragraph" w:customStyle="1" w:styleId="100">
    <w:name w:val="样式2"/>
    <w:basedOn w:val="7"/>
    <w:qFormat/>
    <w:uiPriority w:val="0"/>
    <w:pPr>
      <w:spacing w:line="415" w:lineRule="auto"/>
    </w:pPr>
    <w:rPr>
      <w:lang w:val="zh-CN" w:eastAsia="zh-CN"/>
    </w:rPr>
  </w:style>
  <w:style w:type="paragraph" w:customStyle="1" w:styleId="101">
    <w:name w:val="表格"/>
    <w:basedOn w:val="1"/>
    <w:qFormat/>
    <w:uiPriority w:val="0"/>
    <w:pPr>
      <w:jc w:val="center"/>
      <w:textAlignment w:val="center"/>
    </w:pPr>
    <w:rPr>
      <w:rFonts w:ascii="华文细黑" w:hAnsi="华文细黑"/>
      <w:kern w:val="0"/>
      <w:szCs w:val="20"/>
    </w:rPr>
  </w:style>
  <w:style w:type="paragraph" w:customStyle="1" w:styleId="102">
    <w:name w:val="样式3"/>
    <w:basedOn w:val="7"/>
    <w:qFormat/>
    <w:uiPriority w:val="0"/>
    <w:pPr>
      <w:spacing w:line="415" w:lineRule="auto"/>
    </w:pPr>
    <w:rPr>
      <w:rFonts w:eastAsia="Arial"/>
      <w:lang w:val="zh-CN" w:eastAsia="zh-CN"/>
    </w:rPr>
  </w:style>
  <w:style w:type="paragraph" w:customStyle="1" w:styleId="103">
    <w:name w:val="Char"/>
    <w:basedOn w:val="1"/>
    <w:qFormat/>
    <w:uiPriority w:val="0"/>
    <w:pPr>
      <w:tabs>
        <w:tab w:val="left" w:pos="360"/>
      </w:tabs>
    </w:pPr>
    <w:rPr>
      <w:sz w:val="24"/>
    </w:rPr>
  </w:style>
  <w:style w:type="character" w:customStyle="1" w:styleId="104">
    <w:name w:val="脚注文本 Char"/>
    <w:basedOn w:val="40"/>
    <w:semiHidden/>
    <w:qFormat/>
    <w:uiPriority w:val="99"/>
    <w:rPr>
      <w:rFonts w:ascii="Times New Roman" w:hAnsi="Times New Roman" w:eastAsia="宋体" w:cs="Times New Roman"/>
      <w:sz w:val="18"/>
      <w:szCs w:val="18"/>
    </w:rPr>
  </w:style>
  <w:style w:type="character" w:customStyle="1" w:styleId="105">
    <w:name w:val="脚注文本 Char1"/>
    <w:link w:val="30"/>
    <w:qFormat/>
    <w:uiPriority w:val="0"/>
    <w:rPr>
      <w:rFonts w:ascii="Times New Roman" w:hAnsi="Times New Roman" w:eastAsia="宋体" w:cs="Times New Roman"/>
      <w:sz w:val="20"/>
      <w:szCs w:val="20"/>
    </w:rPr>
  </w:style>
  <w:style w:type="paragraph" w:customStyle="1" w:styleId="106">
    <w:name w:val="表格文字"/>
    <w:basedOn w:val="1"/>
    <w:qFormat/>
    <w:uiPriority w:val="0"/>
    <w:pPr>
      <w:adjustRightInd w:val="0"/>
      <w:spacing w:line="420" w:lineRule="atLeast"/>
      <w:jc w:val="left"/>
      <w:textAlignment w:val="baseline"/>
    </w:pPr>
    <w:rPr>
      <w:kern w:val="0"/>
      <w:szCs w:val="20"/>
    </w:rPr>
  </w:style>
  <w:style w:type="paragraph" w:styleId="107">
    <w:name w:val="List Paragraph"/>
    <w:basedOn w:val="1"/>
    <w:qFormat/>
    <w:uiPriority w:val="34"/>
    <w:pPr>
      <w:ind w:firstLine="420" w:firstLineChars="200"/>
    </w:pPr>
  </w:style>
  <w:style w:type="paragraph" w:customStyle="1" w:styleId="108">
    <w:name w:val="2 Char Char Char Char Char Char Char Char Char Char Char Char Char"/>
    <w:basedOn w:val="16"/>
    <w:qFormat/>
    <w:uiPriority w:val="0"/>
    <w:pPr>
      <w:shd w:val="clear" w:color="auto" w:fill="000080"/>
    </w:pPr>
    <w:rPr>
      <w:rFonts w:ascii="Tahoma" w:hAnsi="Tahoma"/>
      <w:sz w:val="24"/>
      <w:szCs w:val="24"/>
    </w:rPr>
  </w:style>
  <w:style w:type="paragraph" w:customStyle="1" w:styleId="109">
    <w:name w:val="Body Text First Indent"/>
    <w:next w:val="1"/>
    <w:qFormat/>
    <w:uiPriority w:val="0"/>
    <w:pPr>
      <w:widowControl w:val="0"/>
      <w:spacing w:beforeLines="50" w:line="360" w:lineRule="auto"/>
      <w:ind w:firstLine="200" w:firstLineChars="200"/>
      <w:jc w:val="both"/>
    </w:pPr>
    <w:rPr>
      <w:rFonts w:hint="default" w:ascii="Times New Roman" w:hAnsi="Times New Roman" w:eastAsia="宋体" w:cs="Times New Roman"/>
      <w:kern w:val="2"/>
      <w:sz w:val="24"/>
      <w:szCs w:val="24"/>
      <w:lang w:val="en-US" w:eastAsia="zh-CN" w:bidi="ar-SA"/>
    </w:rPr>
  </w:style>
  <w:style w:type="paragraph" w:customStyle="1" w:styleId="11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11">
    <w:name w:val="p0"/>
    <w:basedOn w:val="1"/>
    <w:qFormat/>
    <w:uiPriority w:val="0"/>
    <w:rPr>
      <w:szCs w:val="21"/>
    </w:rPr>
  </w:style>
  <w:style w:type="paragraph" w:customStyle="1" w:styleId="112">
    <w:name w:val="table"/>
    <w:qFormat/>
    <w:uiPriority w:val="0"/>
    <w:pPr>
      <w:adjustRightInd w:val="0"/>
      <w:snapToGrid w:val="0"/>
    </w:pPr>
    <w:rPr>
      <w:rFonts w:hint="default" w:ascii="宋体" w:hAnsi="Calibri" w:eastAsia="宋体" w:cs="Times New Roman"/>
      <w:kern w:val="2"/>
      <w:sz w:val="24"/>
      <w:szCs w:val="22"/>
      <w:lang w:val="en-US" w:eastAsia="zh-CN" w:bidi="ar-SA"/>
    </w:rPr>
  </w:style>
  <w:style w:type="paragraph" w:customStyle="1" w:styleId="113">
    <w:name w:val="_Style 3"/>
    <w:basedOn w:val="1"/>
    <w:qFormat/>
    <w:uiPriority w:val="0"/>
    <w:pPr>
      <w:widowControl w:val="0"/>
      <w:adjustRightInd/>
      <w:snapToGrid/>
      <w:ind w:firstLine="420" w:firstLineChars="200"/>
      <w:jc w:val="both"/>
    </w:pPr>
    <w:rPr>
      <w:rFonts w:ascii="Times New Roman" w:hAnsi="Times New Roman" w:cs="Times New Roman"/>
      <w:kern w:val="2"/>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contractReview xmlns="http://schemas.wps.cn/vas-ai-hub/contract-review">
  <reviewItems>
    <reviewItem>
      <errorID>ce3de40d-9592-4250-9f13-679bc24cfeff</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367ABE17</paraID>
      <start>46</start>
      <end>47</end>
      <status>unmodified</status>
      <modifiedWord/>
      <trackRevisions>false</trackRevisions>
    </reviewItem>
    <reviewItem>
      <errorID>3fc4252a-0383-4b06-8153-a87b9db79622</errorID>
      <errorWord>(</errorWord>
      <group>L1_Format</group>
      <groupName>格式问题</groupName>
      <ability>L2_HalfPunc_CN</ability>
      <abilityName>全半角检查</abilityName>
      <candidateList>
        <item>（</item>
      </candidateList>
      <explain>文本全半角错误。</explain>
      <paraID>5C778D23</paraID>
      <start>15</start>
      <end>16</end>
      <status>unmodified</status>
      <modifiedWord/>
      <trackRevisions>false</trackRevisions>
    </reviewItem>
    <reviewItem>
      <errorID>9b8ca37c-c40e-476a-9275-d25fbfa4ee41</errorID>
      <errorWord>)</errorWord>
      <group>L1_Format</group>
      <groupName>格式问题</groupName>
      <ability>L2_HalfPunc_CN</ability>
      <abilityName>全半角检查</abilityName>
      <candidateList>
        <item>）</item>
      </candidateList>
      <explain>文本全半角错误。</explain>
      <paraID>5C778D23</paraID>
      <start>38</start>
      <end>39</end>
      <status>unmodified</status>
      <modifiedWord/>
      <trackRevisions>false</trackRevisions>
    </reviewItem>
    <reviewItem>
      <errorID>b3c257ba-0946-4207-82b6-9a32c28a1b6a</errorID>
      <errorWord>日至2026年</errorWord>
      <group>L1_Word</group>
      <groupName>字词问题</groupName>
      <ability>L2_Typo</ability>
      <abilityName>字词错误</abilityName>
      <candidateList>
        <item>日起至2026年</item>
      </candidateList>
      <explain/>
      <paraID>450F658F</paraID>
      <start>25</start>
      <end>32</end>
      <status>unmodified</status>
      <modifiedWord/>
      <trackRevisions>false</trackRevisions>
    </reviewItem>
    <reviewItem>
      <errorID>1fbd4798-626b-402c-89fb-ad2440196197</errorID>
      <errorWord>：/。</errorWord>
      <group>L1_Punc</group>
      <groupName>标点问题</groupName>
      <ability>L2_Punc_CN</ability>
      <abilityName>标点符号检查</abilityName>
      <candidateList>
        <item>：</item>
      </candidateList>
      <explain/>
      <paraID> A410288</paraID>
      <start>14</start>
      <end>17</end>
      <status>unmodified</status>
      <modifiedWord/>
      <trackRevisions>false</trackRevisions>
    </reviewItem>
    <reviewItem>
      <errorID>a2e4690c-0112-4bc5-9481-27a5f883af2c</errorID>
      <errorWord>网</errorWord>
      <group>L1_Word</group>
      <groupName>字词问题</groupName>
      <ability>L2_Typo</ability>
      <abilityName>字词错误</abilityName>
      <candidateList>
        <item>网站</item>
      </candidateList>
      <explain/>
      <paraID>59F71A4A</paraID>
      <start>71</start>
      <end>72</end>
      <status>unmodified</status>
      <modifiedWord/>
      <trackRevisions>false</trackRevisions>
    </reviewItem>
    <reviewItem>
      <errorID>0f610ce1-aa5f-4c1f-a908-f85acd079dd9</errorID>
      <errorWord>-</errorWord>
      <group>L1_Format</group>
      <groupName>格式问题</groupName>
      <ability>L2_HalfPunc_CN</ability>
      <abilityName>全半角检查</abilityName>
      <candidateList>
        <item>－</item>
      </candidateList>
      <explain>文本全半角错误。</explain>
      <paraID>7234BE0F</paraID>
      <start>30</start>
      <end>31</end>
      <status>unmodified</status>
      <modifiedWord/>
      <trackRevisions>false</trackRevisions>
    </reviewItem>
    <reviewItem>
      <errorID>952bfca7-e80c-45bf-89e2-945389b77e01</errorID>
      <errorWord>：</errorWord>
      <group>L1_Word</group>
      <groupName>字词问题</groupName>
      <ability>L2_Typo</ability>
      <abilityName>字词错误</abilityName>
      <candidateList>
        <item>：以</item>
      </candidateList>
      <explain/>
      <paraID>469C9467</paraID>
      <start>9</start>
      <end>10</end>
      <status>unmodified</status>
      <modifiedWord/>
      <trackRevisions>false</trackRevisions>
    </reviewItem>
    <reviewItem>
      <errorID>6f29d391-57b0-4f91-9f0f-a1aabaef7c19</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446CEC55</paraID>
      <start>17</start>
      <end>20</end>
      <status>unmodified</status>
      <modifiedWord/>
      <trackRevisions>false</trackRevisions>
    </reviewItem>
    <reviewItem>
      <errorID>f7106844-499f-41da-89a4-85d5965ffca6</errorID>
      <errorWord>(</errorWord>
      <group>L1_Format</group>
      <groupName>格式问题</groupName>
      <ability>L2_HalfPunc_CN</ability>
      <abilityName>全半角检查</abilityName>
      <candidateList>
        <item>（</item>
      </candidateList>
      <explain>文本全半角错误。</explain>
      <paraID>73E866E2</paraID>
      <start>7</start>
      <end>8</end>
      <status>unmodified</status>
      <modifiedWord/>
      <trackRevisions>false</trackRevisions>
    </reviewItem>
    <reviewItem>
      <errorID>765fc60e-c02b-4fa4-96f6-1a011a43e3c8</errorID>
      <errorWord>(</errorWord>
      <group>L1_Format</group>
      <groupName>格式问题</groupName>
      <ability>L2_HalfPunc_CN</ability>
      <abilityName>全半角检查</abilityName>
      <candidateList>
        <item>（</item>
      </candidateList>
      <explain>文本全半角错误。</explain>
      <paraID>73E866E2</paraID>
      <start>25</start>
      <end>26</end>
      <status>unmodified</status>
      <modifiedWord/>
      <trackRevisions>false</trackRevisions>
    </reviewItem>
    <reviewItem>
      <errorID>daf1654b-58b0-495f-b02e-58573821a717</errorID>
      <errorWord>(</errorWord>
      <group>L1_Format</group>
      <groupName>格式问题</groupName>
      <ability>L2_HalfPunc_CN</ability>
      <abilityName>全半角检查</abilityName>
      <candidateList>
        <item>（</item>
      </candidateList>
      <explain>文本全半角错误。</explain>
      <paraID>73E866E2</paraID>
      <start>60</start>
      <end>61</end>
      <status>unmodified</status>
      <modifiedWord/>
      <trackRevisions>false</trackRevisions>
    </reviewItem>
    <reviewItem>
      <errorID>0b1fae48-6c26-404c-baea-c01e61c5cafa</errorID>
      <errorWord>须</errorWord>
      <group>L1_Word</group>
      <groupName>字词问题</groupName>
      <ability>L2_Typo</ability>
      <abilityName>字词错误</abilityName>
      <candidateList>
        <item>需</item>
      </candidateList>
      <explain>存在发音相同字词的误用。</explain>
      <paraID>5B32BBBA</paraID>
      <start>7</start>
      <end>8</end>
      <status>unmodified</status>
      <modifiedWord/>
      <trackRevisions>false</trackRevisions>
    </reviewItem>
    <reviewItem>
      <errorID>88571f6f-e7a0-4dcc-922d-ade9d1448e6f</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 688F9FA</paraID>
      <start>12</start>
      <end>14</end>
      <status>unmodified</status>
      <modifiedWord/>
      <trackRevisions>false</trackRevisions>
    </reviewItem>
    <reviewItem>
      <errorID>35da1795-5f92-4b7f-a0e0-4f8dd02c7615</errorID>
      <errorWord>委</errorWord>
      <group>L1_Word</group>
      <groupName>字词问题</groupName>
      <ability>L2_Typo</ability>
      <abilityName>字词错误</abilityName>
      <candidateList>
        <item>委员</item>
      </candidateList>
      <explain/>
      <paraID>5A12E256</paraID>
      <start>15</start>
      <end>16</end>
      <status>unmodified</status>
      <modifiedWord/>
      <trackRevisions>false</trackRevisions>
    </reviewItem>
    <reviewItem>
      <errorID>a5d9d07f-751c-4f5f-9cbd-c55dd2b490eb</errorID>
      <errorWord>违规的行为</errorWord>
      <group>L1_Word</group>
      <groupName>字词问题</groupName>
      <ability>L2_Typo</ability>
      <abilityName>字词错误</abilityName>
      <candidateList>
        <item>违规行为</item>
      </candidateList>
      <explain/>
      <paraID>178AC449</paraID>
      <start>7</start>
      <end>12</end>
      <status>unmodified</status>
      <modifiedWord/>
      <trackRevisions>false</trackRevisions>
    </reviewItem>
    <reviewItem>
      <errorID>27748062-8a66-4fbc-b88e-42bd725b27e6</errorID>
      <errorWord>(</errorWord>
      <group>L1_Format</group>
      <groupName>格式问题</groupName>
      <ability>L2_HalfPunc_CN</ability>
      <abilityName>全半角检查</abilityName>
      <candidateList>
        <item>（</item>
      </candidateList>
      <explain>文本全半角错误。</explain>
      <paraID>28E517FD</paraID>
      <start>9</start>
      <end>10</end>
      <status>unmodified</status>
      <modifiedWord/>
      <trackRevisions>false</trackRevisions>
    </reviewItem>
    <reviewItem>
      <errorID>76fd132a-e13d-4461-a262-49932a0ff357</errorID>
      <errorWord>)</errorWord>
      <group>L1_Format</group>
      <groupName>格式问题</groupName>
      <ability>L2_HalfPunc_CN</ability>
      <abilityName>全半角检查</abilityName>
      <candidateList>
        <item>）</item>
      </candidateList>
      <explain>文本全半角错误。</explain>
      <paraID>28E517FD</paraID>
      <start>17</start>
      <end>18</end>
      <status>unmodified</status>
      <modifiedWord/>
      <trackRevisions>false</trackRevisions>
    </reviewItem>
    <reviewItem>
      <errorID>3cdb52b2-b2ac-4f5e-a80c-46b3852357dc</errorID>
      <errorWord>做出</errorWord>
      <group>L1_Word</group>
      <groupName>字词问题</groupName>
      <ability>L2_Typo</ability>
      <abilityName>字词错误</abilityName>
      <candidateList>
        <item>作出</item>
      </candidateList>
      <explain/>
      <paraID>116CFB75</paraID>
      <start>51</start>
      <end>53</end>
      <status>unmodified</status>
      <modifiedWord/>
      <trackRevisions>false</trackRevisions>
    </reviewItem>
    <reviewItem>
      <errorID>51927e75-c628-496b-b1d8-d555a35a904b</errorID>
      <errorWord>并</errorWord>
      <group>L1_Word</group>
      <groupName>字词问题</groupName>
      <ability>L2_Typo</ability>
      <abilityName>字词错误</abilityName>
      <candidateList>
        <item>并加</item>
      </candidateList>
      <explain/>
      <paraID>35773C41</paraID>
      <start>25</start>
      <end>26</end>
      <status>unmodified</status>
      <modifiedWord/>
      <trackRevisions>false</trackRevisions>
    </reviewItem>
    <reviewItem>
      <errorID>bfe04ff5-f005-42a4-be11-62d46000974d</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30592629</paraID>
      <start>41</start>
      <end>44</end>
      <status>unmodified</status>
      <modifiedWord/>
      <trackRevisions>false</trackRevisions>
    </reviewItem>
    <reviewItem>
      <errorID>0ce2db23-4ad0-44e3-adbf-b50528c12a0c</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30383106</paraID>
      <start>41</start>
      <end>44</end>
      <status>unmodified</status>
      <modifiedWord/>
      <trackRevisions>false</trackRevisions>
    </reviewItem>
    <reviewItem>
      <errorID>04e753da-653e-44be-957c-e75da160790a</errorID>
      <errorWord>位</errorWord>
      <group>L1_Word</group>
      <groupName>字词问题</groupName>
      <ability>L2_Typo</ability>
      <abilityName>字词错误</abilityName>
      <candidateList>
        <item>位公</item>
      </candidateList>
      <explain/>
      <paraID>30383106</paraID>
      <start>71</start>
      <end>72</end>
      <status>unmodified</status>
      <modifiedWord/>
      <trackRevisions>false</trackRevisions>
    </reviewItem>
    <reviewItem>
      <errorID>1027f0f3-742e-4e08-bc1b-40976d06f963</errorID>
      <errorWord>法律、法规</errorWord>
      <group>L1_Word</group>
      <groupName>字词问题</groupName>
      <ability>L2_Typo</ability>
      <abilityName>字词错误</abilityName>
      <candidateList>
        <item>法律法规</item>
      </candidateList>
      <explain/>
      <paraID> 9651475</paraID>
      <start>6</start>
      <end>11</end>
      <status>unmodified</status>
      <modifiedWord/>
      <trackRevisions>false</trackRevisions>
    </reviewItem>
    <reviewItem>
      <errorID>d90dbbed-cb43-495e-ae50-bfcb4f0fd3ba</errorID>
      <errorWord>,</errorWord>
      <group>L1_Format</group>
      <groupName>格式问题</groupName>
      <ability>L2_HalfPunc_CN</ability>
      <abilityName>全半角检查</abilityName>
      <candidateList>
        <item>，</item>
      </candidateList>
      <explain>文本全半角错误。</explain>
      <paraID>4E7AFCCF</paraID>
      <start>94</start>
      <end>95</end>
      <status>unmodified</status>
      <modifiedWord/>
      <trackRevisions>false</trackRevisions>
    </reviewItem>
    <reviewItem>
      <errorID>dfe9f2b3-e8a0-47ff-a296-0c4320ff8c6b</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26BB70A2</paraID>
      <start>3</start>
      <end>7</end>
      <status>unmodified</status>
      <modifiedWord/>
      <trackRevisions>false</trackRevisions>
    </reviewItem>
    <reviewItem>
      <errorID>4275c5f0-0035-4249-8049-e5784c8ce9d9</errorID>
      <errorWord>透漏</errorWord>
      <group>L1_Word</group>
      <groupName>字词问题</groupName>
      <ability>L2_Typo</ability>
      <abilityName>字词错误</abilityName>
      <candidateList>
        <item>透露</item>
      </candidateList>
      <explain>存在发音相同字词的误用。</explain>
      <paraID>7FD1CABD</paraID>
      <start>27</start>
      <end>29</end>
      <status>unmodified</status>
      <modifiedWord/>
      <trackRevisions>false</trackRevisions>
    </reviewItem>
    <reviewItem>
      <errorID>a3fa4d21-2e5d-4dfe-9b47-0657bd61e6d0</errorID>
      <errorWord>透漏</errorWord>
      <group>L1_Word</group>
      <groupName>字词问题</groupName>
      <ability>L2_Typo</ability>
      <abilityName>字词错误</abilityName>
      <candidateList>
        <item>透露</item>
      </candidateList>
      <explain>存在发音相同字词的误用。</explain>
      <paraID>733CF80F</paraID>
      <start>33</start>
      <end>35</end>
      <status>unmodified</status>
      <modifiedWord/>
      <trackRevisions>false</trackRevisions>
    </reviewItem>
    <reviewItem>
      <errorID>0ce73934-9550-4316-a1ec-e4d5f4e773fd</errorID>
      <errorWord>法律、法规</errorWord>
      <group>L1_Word</group>
      <groupName>字词问题</groupName>
      <ability>L2_Typo</ability>
      <abilityName>字词错误</abilityName>
      <candidateList>
        <item>法律法规</item>
      </candidateList>
      <explain/>
      <paraID>10B7A793</paraID>
      <start>3</start>
      <end>8</end>
      <status>unmodified</status>
      <modifiedWord/>
      <trackRevisions>false</trackRevisions>
    </reviewItem>
    <reviewItem>
      <errorID>8f3c430f-c4a7-40dd-aa51-0e5446bc9f41</errorID>
      <errorWord>侯选人</errorWord>
      <group>L1_Word</group>
      <groupName>字词问题</groupName>
      <ability>L2_Typo</ability>
      <abilityName>字词错误</abilityName>
      <candidateList>
        <item>候选人</item>
      </candidateList>
      <explain>〈名〉在选举前预先提名作为选举对象的人。</explain>
      <paraID> A442B41</paraID>
      <start>51</start>
      <end>54</end>
      <status>unmodified</status>
      <modifiedWord/>
      <trackRevisions>false</trackRevisions>
    </reviewItem>
    <reviewItem>
      <errorID>e7b00285-2704-46a6-b671-5b8ab1226089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334885BD</paraID>
      <start>0</start>
      <end>2</end>
      <status>unmodified</status>
      <modifiedWord/>
      <trackRevisions>false</trackRevisions>
    </reviewItem>
    <reviewItem>
      <errorID>5f95ea87-928a-4f10-9431-f72cd68285bf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11A388E9</paraID>
      <start>0</start>
      <end>2</end>
      <status>unmodified</status>
      <modifiedWord/>
      <trackRevisions>false</trackRevisions>
    </reviewItem>
    <reviewItem>
      <errorID>fb230642-b0f2-4c74-98b4-64547004014c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6C459D96</paraID>
      <start>0</start>
      <end>2</end>
      <status>unmodified</status>
      <modifiedWord/>
      <trackRevisions>false</trackRevisions>
    </reviewItem>
    <reviewItem>
      <errorID>53288766-5b55-47a5-b500-dc39e6b0cd4f</errorID>
      <errorWord>(</errorWord>
      <group>L1_Format</group>
      <groupName>格式问题</groupName>
      <ability>L2_HalfPunc_CN</ability>
      <abilityName>全半角检查</abilityName>
      <candidateList>
        <item>（</item>
      </candidateList>
      <explain>文本全半角错误。</explain>
      <paraID>65CCA0AE</paraID>
      <start>0</start>
      <end>1</end>
      <status>unmodified</status>
      <modifiedWord/>
      <trackRevisions>false</trackRevisions>
    </reviewItem>
    <reviewItem>
      <errorID>5dff50dc-216b-4042-b697-b8e061ccb8c4</errorID>
      <errorWord>(</errorWord>
      <group>L1_Format</group>
      <groupName>格式问题</groupName>
      <ability>L2_HalfPunc_CN</ability>
      <abilityName>全半角检查</abilityName>
      <candidateList>
        <item>（</item>
      </candidateList>
      <explain>文本全半角错误。</explain>
      <paraID>46C934BA</paraID>
      <start>0</start>
      <end>1</end>
      <status>unmodified</status>
      <modifiedWord/>
      <trackRevisions>false</trackRevisions>
    </reviewItem>
    <reviewItem>
      <errorID>476046dd-c9c3-4fd6-ab93-98d2d3fbfee8</errorID>
      <errorWord>(</errorWord>
      <group>L1_Format</group>
      <groupName>格式问题</groupName>
      <ability>L2_HalfPunc_CN</ability>
      <abilityName>全半角检查</abilityName>
      <candidateList>
        <item>（</item>
      </candidateList>
      <explain>文本全半角错误。</explain>
      <paraID>26B26F62</paraID>
      <start>49</start>
      <end>50</end>
      <status>unmodified</status>
      <modifiedWord/>
      <trackRevisions>false</trackRevisions>
    </reviewItem>
    <reviewItem>
      <errorID>200a47eb-cdb6-4ea0-a6db-74c1f8cd34d5</errorID>
      <errorWord>)</errorWord>
      <group>L1_Format</group>
      <groupName>格式问题</groupName>
      <ability>L2_HalfPunc_CN</ability>
      <abilityName>全半角检查</abilityName>
      <candidateList>
        <item>）</item>
      </candidateList>
      <explain>文本全半角错误。</explain>
      <paraID>26B26F62</paraID>
      <start>51</start>
      <end>52</end>
      <status>unmodified</status>
      <modifiedWord/>
      <trackRevisions>false</trackRevisions>
    </reviewItem>
    <reviewItem>
      <errorID>fd59b396-1ba4-47e1-bdf1-c3c9e7fb8f23</errorID>
      <errorWord>(</errorWord>
      <group>L1_Format</group>
      <groupName>格式问题</groupName>
      <ability>L2_HalfPunc_CN</ability>
      <abilityName>全半角检查</abilityName>
      <candidateList>
        <item>（</item>
      </candidateList>
      <explain>文本全半角错误。</explain>
      <paraID>26B26F62</paraID>
      <start>59</start>
      <end>60</end>
      <status>unmodified</status>
      <modifiedWord/>
      <trackRevisions>false</trackRevisions>
    </reviewItem>
    <reviewItem>
      <errorID>b08046e7-a057-49c9-9211-ebcd815d6157</errorID>
      <errorWord>)</errorWord>
      <group>L1_Format</group>
      <groupName>格式问题</groupName>
      <ability>L2_HalfPunc_CN</ability>
      <abilityName>全半角检查</abilityName>
      <candidateList>
        <item>）</item>
      </candidateList>
      <explain>文本全半角错误。</explain>
      <paraID>26B26F62</paraID>
      <start>61</start>
      <end>62</end>
      <status>unmodified</status>
      <modifiedWord/>
      <trackRevisions>false</trackRevisions>
    </reviewItem>
    <reviewItem>
      <errorID>2561e848-959b-4c59-be89-43efa99eb505</errorID>
      <errorWord>(</errorWord>
      <group>L1_Format</group>
      <groupName>格式问题</groupName>
      <ability>L2_HalfPunc_CN</ability>
      <abilityName>全半角检查</abilityName>
      <candidateList>
        <item>（</item>
      </candidateList>
      <explain>文本全半角错误。</explain>
      <paraID>26B26F62</paraID>
      <start>72</start>
      <end>73</end>
      <status>unmodified</status>
      <modifiedWord/>
      <trackRevisions>false</trackRevisions>
    </reviewItem>
    <reviewItem>
      <errorID>f072e433-ab60-43d1-9686-6cdf51b07e68</errorID>
      <errorWord>)</errorWord>
      <group>L1_Format</group>
      <groupName>格式问题</groupName>
      <ability>L2_HalfPunc_CN</ability>
      <abilityName>全半角检查</abilityName>
      <candidateList>
        <item>）</item>
      </candidateList>
      <explain>文本全半角错误。</explain>
      <paraID>26B26F62</paraID>
      <start>74</start>
      <end>75</end>
      <status>unmodified</status>
      <modifiedWord/>
      <trackRevisions>false</trackRevisions>
    </reviewItem>
    <reviewItem>
      <errorID>fcd3b109-0d93-4dba-9507-dabe6c41c794</errorID>
      <errorWord>(</errorWord>
      <group>L1_Format</group>
      <groupName>格式问题</groupName>
      <ability>L2_HalfPunc_CN</ability>
      <abilityName>全半角检查</abilityName>
      <candidateList>
        <item>（</item>
      </candidateList>
      <explain>文本全半角错误。</explain>
      <paraID>26B26F62</paraID>
      <start>82</start>
      <end>83</end>
      <status>unmodified</status>
      <modifiedWord/>
      <trackRevisions>false</trackRevisions>
    </reviewItem>
    <reviewItem>
      <errorID>bf5a0701-6e5f-40b2-bd89-dacf441293c6</errorID>
      <errorWord>)</errorWord>
      <group>L1_Format</group>
      <groupName>格式问题</groupName>
      <ability>L2_HalfPunc_CN</ability>
      <abilityName>全半角检查</abilityName>
      <candidateList>
        <item>）</item>
      </candidateList>
      <explain>文本全半角错误。</explain>
      <paraID>26B26F62</paraID>
      <start>84</start>
      <end>85</end>
      <status>unmodified</status>
      <modifiedWord/>
      <trackRevisions>false</trackRevisions>
    </reviewItem>
    <reviewItem>
      <errorID>1f6f672e-25de-4ce4-b755-7454984424b0</errorID>
      <errorWord>(</errorWord>
      <group>L1_Format</group>
      <groupName>格式问题</groupName>
      <ability>L2_HalfPunc_CN</ability>
      <abilityName>全半角检查</abilityName>
      <candidateList>
        <item>（</item>
      </candidateList>
      <explain>文本全半角错误。</explain>
      <paraID>26B26F62</paraID>
      <start>115</start>
      <end>116</end>
      <status>unmodified</status>
      <modifiedWord/>
      <trackRevisions>false</trackRevisions>
    </reviewItem>
    <reviewItem>
      <errorID>ca4c7b78-d22f-426b-83ba-859180876191</errorID>
      <errorWord>)</errorWord>
      <group>L1_Format</group>
      <groupName>格式问题</groupName>
      <ability>L2_HalfPunc_CN</ability>
      <abilityName>全半角检查</abilityName>
      <candidateList>
        <item>）</item>
      </candidateList>
      <explain>文本全半角错误。</explain>
      <paraID>26B26F62</paraID>
      <start>117</start>
      <end>118</end>
      <status>unmodified</status>
      <modifiedWord/>
      <trackRevisions>false</trackRevisions>
    </reviewItem>
    <reviewItem>
      <errorID>347525ea-bda6-4cbd-a6d2-dcd608561ef1</errorID>
      <errorWord>(</errorWord>
      <group>L1_Format</group>
      <groupName>格式问题</groupName>
      <ability>L2_HalfPunc_CN</ability>
      <abilityName>全半角检查</abilityName>
      <candidateList>
        <item>（</item>
      </candidateList>
      <explain>文本全半角错误。</explain>
      <paraID>26B26F62</paraID>
      <start>128</start>
      <end>129</end>
      <status>unmodified</status>
      <modifiedWord/>
      <trackRevisions>false</trackRevisions>
    </reviewItem>
    <reviewItem>
      <errorID>87c1c35c-faf9-4a90-97e6-5f4ac0cc6e30</errorID>
      <errorWord>)</errorWord>
      <group>L1_Format</group>
      <groupName>格式问题</groupName>
      <ability>L2_HalfPunc_CN</ability>
      <abilityName>全半角检查</abilityName>
      <candidateList>
        <item>）</item>
      </candidateList>
      <explain>文本全半角错误。</explain>
      <paraID>26B26F62</paraID>
      <start>130</start>
      <end>131</end>
      <status>unmodified</status>
      <modifiedWord/>
      <trackRevisions>false</trackRevisions>
    </reviewItem>
    <reviewItem>
      <errorID>d286bbdb-76a3-438d-8bf2-3695fd1e6622</errorID>
      <errorWord>日</errorWord>
      <group>L1_Word</group>
      <groupName>字词问题</groupName>
      <ability>L2_Typo</ability>
      <abilityName>字词错误</abilityName>
      <candidateList>
        <item>日内</item>
      </candidateList>
      <explain/>
      <paraID>65073228</paraID>
      <start>64</start>
      <end>65</end>
      <status>unmodified</status>
      <modifiedWord/>
      <trackRevisions>false</trackRevisions>
    </reviewItem>
    <reviewItem>
      <errorID>3f92331b-b77b-4179-bc3c-5fef1d6e7498</errorID>
      <errorWord>日</errorWord>
      <group>L1_Word</group>
      <groupName>字词问题</groupName>
      <ability>L2_Typo</ability>
      <abilityName>字词错误</abilityName>
      <candidateList>
        <item>日内</item>
      </candidateList>
      <explain/>
      <paraID>65073228</paraID>
      <start>92</start>
      <end>93</end>
      <status>unmodified</status>
      <modifiedWord/>
      <trackRevisions>false</trackRevisions>
    </reviewItem>
    <reviewItem>
      <errorID>bf19a520-0498-4138-98a7-2fe0b34a6ec7</errorID>
      <errorWord>做出</errorWord>
      <group>L1_Word</group>
      <groupName>字词问题</groupName>
      <ability>L2_Typo</ability>
      <abilityName>字词错误</abilityName>
      <candidateList>
        <item>作出</item>
      </candidateList>
      <explain/>
      <paraID>23714956</paraID>
      <start>28</start>
      <end>30</end>
      <status>unmodified</status>
      <modifiedWord/>
      <trackRevisions>false</trackRevisions>
    </reviewItem>
    <reviewItem>
      <errorID>193a6495-5316-4205-931c-db5620fbd3de</errorID>
      <errorWord>负保密责任</errorWord>
      <group>L1_Word</group>
      <groupName>字词问题</groupName>
      <ability>L2_Typo</ability>
      <abilityName>字词错误</abilityName>
      <candidateList>
        <item>负有保密责任</item>
      </candidateList>
      <explain/>
      <paraID>1D8BD674</paraID>
      <start>40</start>
      <end>45</end>
      <status>unmodified</status>
      <modifiedWord/>
      <trackRevisions>false</trackRevisions>
    </reviewItem>
    <reviewItem>
      <errorID>34e97b75-9dbb-428d-9d75-48af1d9df1d6</errorID>
      <errorWord>法律、法规</errorWord>
      <group>L1_Word</group>
      <groupName>字词问题</groupName>
      <ability>L2_Typo</ability>
      <abilityName>字词错误</abilityName>
      <candidateList>
        <item>法律法规</item>
      </candidateList>
      <explain/>
      <paraID>1D8BD674</paraID>
      <start>47</start>
      <end>52</end>
      <status>unmodified</status>
      <modifiedWord/>
      <trackRevisions>false</trackRevisions>
    </reviewItem>
    <reviewItem>
      <errorID>ce728d56-df60-4117-912e-680c26a40a46</errorID>
      <errorWord>做出</errorWord>
      <group>L1_Word</group>
      <groupName>字词问题</groupName>
      <ability>L2_Typo</ability>
      <abilityName>字词错误</abilityName>
      <candidateList>
        <item>作出</item>
      </candidateList>
      <explain/>
      <paraID>39B22431</paraID>
      <start>28</start>
      <end>30</end>
      <status>unmodified</status>
      <modifiedWord/>
      <trackRevisions>false</trackRevisions>
    </reviewItem>
    <reviewItem>
      <errorID>7f73ebfa-1c68-4768-b857-f47f8c6b035e</errorID>
      <errorWord>负保密责任</errorWord>
      <group>L1_Word</group>
      <groupName>字词问题</groupName>
      <ability>L2_Typo</ability>
      <abilityName>字词错误</abilityName>
      <candidateList>
        <item>负有保密责任</item>
      </candidateList>
      <explain/>
      <paraID> 46A30C9</paraID>
      <start>40</start>
      <end>45</end>
      <status>unmodified</status>
      <modifiedWord/>
      <trackRevisions>false</trackRevisions>
    </reviewItem>
    <reviewItem>
      <errorID>abd718ef-d99b-46e6-9e88-7411c8b60fce</errorID>
      <errorWord>法律、法规</errorWord>
      <group>L1_Word</group>
      <groupName>字词问题</groupName>
      <ability>L2_Typo</ability>
      <abilityName>字词错误</abilityName>
      <candidateList>
        <item>法律法规</item>
      </candidateList>
      <explain/>
      <paraID> 46A30C9</paraID>
      <start>47</start>
      <end>52</end>
      <status>unmodified</status>
      <modifiedWord/>
      <trackRevisions>false</trackRevisions>
    </reviewItem>
    <reviewItem>
      <errorID>b11edf1b-f8e8-4f32-b1b5-3dbe0a429388</errorID>
      <errorWord>(</errorWord>
      <group>L1_Format</group>
      <groupName>格式问题</groupName>
      <ability>L2_HalfPunc_CN</ability>
      <abilityName>全半角检查</abilityName>
      <candidateList>
        <item>（</item>
      </candidateList>
      <explain>文本全半角错误。</explain>
      <paraID>5A332ACF</paraID>
      <start>3</start>
      <end>4</end>
      <status>unmodified</status>
      <modifiedWord/>
      <trackRevisions>false</trackRevisions>
    </reviewItem>
    <reviewItem>
      <errorID>dd07d771-88c0-454a-a123-dbdf8d547e0b</errorID>
      <errorWord>)</errorWord>
      <group>L1_Format</group>
      <groupName>格式问题</groupName>
      <ability>L2_HalfPunc_CN</ability>
      <abilityName>全半角检查</abilityName>
      <candidateList>
        <item>）</item>
      </candidateList>
      <explain>文本全半角错误。</explain>
      <paraID>5A332ACF</paraID>
      <start>6</start>
      <end>7</end>
      <status>unmodified</status>
      <modifiedWord/>
      <trackRevisions>false</trackRevisions>
    </reviewItem>
    <reviewItem>
      <errorID>84364f13-5bda-45d7-ad38-69800b44bfab</errorID>
      <errorWord>项目项目</errorWord>
      <group>L1_Word</group>
      <groupName>字词问题</groupName>
      <ability>L2_Typo</ability>
      <abilityName>字词错误</abilityName>
      <candidateList>
        <item>项目</item>
      </candidateList>
      <explain>〈名〉事物分成的门类：服务～｜体育～｜建设～。</explain>
      <paraID>630F7348</paraID>
      <start>49</start>
      <end>51</end>
      <status>modified</status>
      <modifiedWord>项目</modifiedWord>
      <trackRevisions>false</trackRevisions>
    </reviewItem>
    <reviewItem>
      <errorID>3dccae98-3a91-4a0a-b956-4f814ed9b8e3</errorID>
      <errorWord>,</errorWord>
      <group>L1_Format</group>
      <groupName>格式问题</groupName>
      <ability>L2_HalfPunc_CN</ability>
      <abilityName>全半角检查</abilityName>
      <candidateList>
        <item>，</item>
      </candidateList>
      <explain>文本全半角错误。</explain>
      <paraID>630F7348</paraID>
      <start>56</start>
      <end>57</end>
      <status>unmodified</status>
      <modifiedWord/>
      <trackRevisions>false</trackRevisions>
    </reviewItem>
    <reviewItem>
      <errorID>125d9b85-66e2-4488-a79f-e55861962c33</errorID>
      <errorWord>负保密责任</errorWord>
      <group>L1_Word</group>
      <groupName>字词问题</groupName>
      <ability>L2_Typo</ability>
      <abilityName>字词错误</abilityName>
      <candidateList>
        <item>负有保密责任</item>
      </candidateList>
      <explain/>
      <paraID>318BB48A</paraID>
      <start>39</start>
      <end>44</end>
      <status>unmodified</status>
      <modifiedWord/>
      <trackRevisions>false</trackRevisions>
    </reviewItem>
    <reviewItem>
      <errorID>c81df6c5-37bc-4600-9820-3478533330dd</errorID>
      <errorWord>法律、法规</errorWord>
      <group>L1_Word</group>
      <groupName>字词问题</groupName>
      <ability>L2_Typo</ability>
      <abilityName>字词错误</abilityName>
      <candidateList>
        <item>法律法规</item>
      </candidateList>
      <explain/>
      <paraID>318BB48A</paraID>
      <start>46</start>
      <end>51</end>
      <status>unmodified</status>
      <modifiedWord/>
      <trackRevisions>false</trackRevisions>
    </reviewItem>
    <reviewItem>
      <errorID>e01f6b44-e894-4f92-8398-0517b764daaa</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3729B4D3</paraID>
      <start>17</start>
      <end>18</end>
      <status>unmodified</status>
      <modifiedWord/>
      <trackRevisions>false</trackRevisions>
    </reviewItem>
    <reviewItem>
      <errorID>03c32e4e-f2d0-4015-a463-184f2076e5bf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3A8EF9A0</paraID>
      <start>0</start>
      <end>2</end>
      <status>unmodified</status>
      <modifiedWord/>
      <trackRevisions>false</trackRevisions>
    </reviewItem>
    <reviewItem>
      <errorID>39aeefd2-d253-46c5-8bde-2b05625a1091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645C6181</paraID>
      <start>0</start>
      <end>2</end>
      <status>unmodified</status>
      <modifiedWord/>
      <trackRevisions>false</trackRevisions>
    </reviewItem>
    <reviewItem>
      <errorID>86a2ce61-2945-4180-9dcf-b78e7f798f13</errorID>
      <errorWord>日</errorWord>
      <group>L1_Word</group>
      <groupName>字词问题</groupName>
      <ability>L2_Typo</ability>
      <abilityName>字词错误</abilityName>
      <candidateList>
        <item>日内</item>
      </candidateList>
      <explain/>
      <paraID>15BA8321</paraID>
      <start>37</start>
      <end>38</end>
      <status>unmodified</status>
      <modifiedWord/>
      <trackRevisions>false</trackRevisions>
    </reviewItem>
    <reviewItem>
      <errorID>e8eb79f7-5be1-4a8f-9bac-429d651b98a3</errorID>
      <errorWord>日</errorWord>
      <group>L1_Word</group>
      <groupName>字词问题</groupName>
      <ability>L2_Typo</ability>
      <abilityName>字词错误</abilityName>
      <candidateList>
        <item>日内</item>
      </candidateList>
      <explain/>
      <paraID>15BA8321</paraID>
      <start>64</start>
      <end>65</end>
      <status>unmodified</status>
      <modifiedWord/>
      <trackRevisions>false</trackRevisions>
    </reviewItem>
    <reviewItem>
      <errorID>92404869-e65c-49e3-bac1-b91a4a63e099</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25F20EA4</paraID>
      <start>0</start>
      <end>3</end>
      <status>unmodified</status>
      <modifiedWord/>
      <trackRevisions>false</trackRevisions>
    </reviewItem>
    <reviewItem>
      <errorID>541059a2-fd0a-4d82-828d-2311d59f2603</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69ABD4A2</paraID>
      <start>0</start>
      <end>3</end>
      <status>unmodified</status>
      <modifiedWord/>
      <trackRevisions>false</trackRevisions>
    </reviewItem>
    <reviewItem>
      <errorID>e24940dd-82e0-4bf7-b003-26db29f207a6</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206F1930</paraID>
      <start>0</start>
      <end>3</end>
      <status>unmodified</status>
      <modifiedWord/>
      <trackRevisions>false</trackRevisions>
    </reviewItem>
    <reviewItem>
      <errorID>cd36d6e7-3286-4fed-a53f-85cedeb4731d</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31974DFD</paraID>
      <start>0</start>
      <end>3</end>
      <status>unmodified</status>
      <modifiedWord/>
      <trackRevisions>false</trackRevisions>
    </reviewItem>
    <reviewItem>
      <errorID>f3e5036b-49c5-4b11-b2ae-6d7069aaf19c</errorID>
      <errorWord>必须在</errorWord>
      <group>L1_Word</group>
      <groupName>字词问题</groupName>
      <ability>L2_Typo</ability>
      <abilityName>字词错误</abilityName>
      <candidateList>
        <item>必须</item>
      </candidateList>
      <explain>〈副〉❶表示事理上和情理上必要；一定要：学习～刻苦钻研。❷加强命令语气：明天你～来。‖注意“必须”的否定是“无须”、“不须”或“不必”。</explain>
      <paraID>241B7A61</paraID>
      <start>11</start>
      <end>14</end>
      <status>unmodified</status>
      <modifiedWord/>
      <trackRevisions>false</trackRevisions>
    </reviewItem>
    <reviewItem>
      <errorID>3e7f4135-ac16-43e0-a0e4-f91fd2d67d33</errorID>
      <errorWord>书面形式的</errorWord>
      <group>L1_Word</group>
      <groupName>字词问题</groupName>
      <ability>L2_Typo</ability>
      <abilityName>字词错误</abilityName>
      <candidateList>
        <item>书面形式</item>
      </candidateList>
      <explain/>
      <paraID>2B9361F9</paraID>
      <start>34</start>
      <end>39</end>
      <status>unmodified</status>
      <modifiedWord/>
      <trackRevisions>false</trackRevisions>
    </reviewItem>
    <reviewItem>
      <errorID>0b06ef78-ead1-455a-9b4f-ebaae11adcf1</errorID>
      <errorWord>其它可能</errorWord>
      <group>L1_Word</group>
      <groupName>字词问题</groupName>
      <ability>L2_Alias</ability>
      <abilityName>也作/曾用词</abilityName>
      <candidateList>
        <item>其他可能</item>
      </candidateList>
      <explain>词汇[其它可能]为不规范表述或旧称，其规范书面表述为[其他可能]。</explain>
      <paraID>11AC398A</paraID>
      <start>158</start>
      <end>162</end>
      <status>unmodified</status>
      <modifiedWord/>
      <trackRevisions>false</trackRevisions>
    </reviewItem>
    <reviewItem>
      <errorID>a1468325-7f99-4b8d-943c-75f8ae409dd8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D684BC4</paraID>
      <start>0</start>
      <end>3</end>
      <status>unmodified</status>
      <modifiedWord/>
      <trackRevisions>false</trackRevisions>
    </reviewItem>
    <reviewItem>
      <errorID>6c653200-7396-413b-b7d2-0d8e762b4452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2AE70A4</paraID>
      <start>0</start>
      <end>2</end>
      <status>unmodified</status>
      <modifiedWord/>
      <trackRevisions>false</trackRevisions>
    </reviewItem>
    <reviewItem>
      <errorID>e5f16b80-2508-4d58-88ab-96b04ec2b7c9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6E59FC4E</paraID>
      <start>0</start>
      <end>2</end>
      <status>unmodified</status>
      <modifiedWord/>
      <trackRevisions>false</trackRevisions>
    </reviewItem>
    <reviewItem>
      <errorID>210f61d5-7a38-4278-b231-6747dad6ff1d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3B8885B6</paraID>
      <start>0</start>
      <end>2</end>
      <status>unmodified</status>
      <modifiedWord/>
      <trackRevisions>false</trackRevisions>
    </reviewItem>
    <reviewItem>
      <errorID>9adbcf31-2fbb-4e0b-b13c-b61bf76153c7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18965DE9</paraID>
      <start>0</start>
      <end>2</end>
      <status>unmodified</status>
      <modifiedWord/>
      <trackRevisions>false</trackRevisions>
    </reviewItem>
    <reviewItem>
      <errorID>b30844b6-f659-4ab3-9ab7-66d94594213c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21A479F9</paraID>
      <start>0</start>
      <end>2</end>
      <status>unmodified</status>
      <modifiedWord/>
      <trackRevisions>false</trackRevisions>
    </reviewItem>
    <reviewItem>
      <errorID>f6ae7998-c5a8-4d8e-8869-f85f404646a6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3462BDB7</paraID>
      <start>0</start>
      <end>2</end>
      <status>unmodified</status>
      <modifiedWord/>
      <trackRevisions>false</trackRevisions>
    </reviewItem>
    <reviewItem>
      <errorID>e2073d5d-7e62-466e-bbb9-64eb54635538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2E9D13C7</paraID>
      <start>0</start>
      <end>2</end>
      <status>unmodified</status>
      <modifiedWord/>
      <trackRevisions>false</trackRevisions>
    </reviewItem>
    <reviewItem>
      <errorID>4a0be508-c8e7-417b-aedd-511cefd52c7b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112D450E</paraID>
      <start>0</start>
      <end>2</end>
      <status>unmodified</status>
      <modifiedWord/>
      <trackRevisions>false</trackRevisions>
    </reviewItem>
    <reviewItem>
      <errorID>085cfaa9-6020-45cb-80bb-c0798d7d77c1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1C2C7AB2</paraID>
      <start>0</start>
      <end>2</end>
      <status>unmodified</status>
      <modifiedWord/>
      <trackRevisions>false</trackRevisions>
    </reviewItem>
    <reviewItem>
      <errorID>92164b56-814a-4545-9636-46d5fad0b1d5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4153F263</paraID>
      <start>0</start>
      <end>2</end>
      <status>unmodified</status>
      <modifiedWord/>
      <trackRevisions>false</trackRevisions>
    </reviewItem>
    <reviewItem>
      <errorID>c5bfc71d-d362-4d0b-95b4-ab288cfa2318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7E66FCDB</paraID>
      <start>0</start>
      <end>2</end>
      <status>unmodified</status>
      <modifiedWord/>
      <trackRevisions>false</trackRevisions>
    </reviewItem>
    <reviewItem>
      <errorID>51e2618d-4a63-41f2-b70f-e080f586420a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6FA90258</paraID>
      <start>0</start>
      <end>2</end>
      <status>unmodified</status>
      <modifiedWord/>
      <trackRevisions>false</trackRevisions>
    </reviewItem>
    <reviewItem>
      <errorID>62d6c8dc-c80f-4696-8f85-b269885322b0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733E2D0F</paraID>
      <start>0</start>
      <end>2</end>
      <status>unmodified</status>
      <modifiedWord/>
      <trackRevisions>false</trackRevisions>
    </reviewItem>
    <reviewItem>
      <errorID>cdf5e205-a442-491b-b2fc-e7652a5746ab</errorID>
      <errorWord>：/</errorWord>
      <group>L1_Punc</group>
      <groupName>标点问题</groupName>
      <ability>L2_Punc_CN</ability>
      <abilityName>标点符号检查</abilityName>
      <candidateList>
        <item>：</item>
      </candidateList>
      <explain/>
      <paraID>1BD9E485</paraID>
      <start>5</start>
      <end>7</end>
      <status>unmodified</status>
      <modifiedWord/>
      <trackRevisions>false</trackRevisions>
    </reviewItem>
    <reviewItem>
      <errorID>08b8c909-a7a4-48b5-9b98-f59fee623ccf</errorID>
      <errorWord>：/</errorWord>
      <group>L1_Punc</group>
      <groupName>标点问题</groupName>
      <ability>L2_Punc_CN</ability>
      <abilityName>标点符号检查</abilityName>
      <candidateList>
        <item>：</item>
      </candidateList>
      <explain/>
      <paraID>39FBAFCC</paraID>
      <start>5</start>
      <end>7</end>
      <status>unmodified</status>
      <modifiedWord/>
      <trackRevisions>false</trackRevisions>
    </reviewItem>
    <reviewItem>
      <errorID>f37fa97b-6124-42a2-b22c-fe30aa2d2517</errorID>
      <errorWord>(</errorWord>
      <group>L1_Format</group>
      <groupName>格式问题</groupName>
      <ability>L2_HalfPunc_CN</ability>
      <abilityName>全半角检查</abilityName>
      <candidateList>
        <item>（</item>
      </candidateList>
      <explain>文本全半角错误。</explain>
      <paraID>754EC365</paraID>
      <start>3</start>
      <end>4</end>
      <status>unmodified</status>
      <modifiedWord/>
      <trackRevisions>false</trackRevisions>
    </reviewItem>
    <reviewItem>
      <errorID>0a743e83-216a-4d8e-be8b-e88906158aa9</errorID>
      <errorWord>)</errorWord>
      <group>L1_Format</group>
      <groupName>格式问题</groupName>
      <ability>L2_HalfPunc_CN</ability>
      <abilityName>全半角检查</abilityName>
      <candidateList>
        <item>）</item>
      </candidateList>
      <explain>文本全半角错误。</explain>
      <paraID>754EC365</paraID>
      <start>6</start>
      <end>7</end>
      <status>unmodified</status>
      <modifiedWord/>
      <trackRevisions>false</trackRevisions>
    </reviewItem>
    <reviewItem>
      <errorID>c8301bd6-3b74-4bbf-b9a7-cee8dcc05882</errorID>
      <errorWord>项目项目</errorWord>
      <group>L1_Word</group>
      <groupName>字词问题</groupName>
      <ability>L2_Typo</ability>
      <abilityName>字词错误</abilityName>
      <candidateList>
        <item>项目</item>
      </candidateList>
      <explain>〈名〉事物分成的门类：服务～｜体育～｜建设～。</explain>
      <paraID>265DC696</paraID>
      <start>49</start>
      <end>51</end>
      <status>modified</status>
      <modifiedWord>项目</modifiedWord>
      <trackRevisions>false</trackRevisions>
    </reviewItem>
    <reviewItem>
      <errorID>c069eda0-17eb-4563-ba43-f2c903c97f52</errorID>
      <errorWord>,</errorWord>
      <group>L1_Format</group>
      <groupName>格式问题</groupName>
      <ability>L2_HalfPunc_CN</ability>
      <abilityName>全半角检查</abilityName>
      <candidateList>
        <item>，</item>
      </candidateList>
      <explain>文本全半角错误。</explain>
      <paraID>265DC696</paraID>
      <start>56</start>
      <end>57</end>
      <status>unmodified</status>
      <modifiedWord/>
      <trackRevisions>false</trackRevisions>
    </reviewItem>
    <reviewItem>
      <errorID>3a729280-a66b-4d5d-9042-96de7ef2a468</errorID>
      <errorWord>负保密责任</errorWord>
      <group>L1_Word</group>
      <groupName>字词问题</groupName>
      <ability>L2_Typo</ability>
      <abilityName>字词错误</abilityName>
      <candidateList>
        <item>负有保密责任</item>
      </candidateList>
      <explain/>
      <paraID>2D26268A</paraID>
      <start>39</start>
      <end>44</end>
      <status>unmodified</status>
      <modifiedWord/>
      <trackRevisions>false</trackRevisions>
    </reviewItem>
    <reviewItem>
      <errorID>4a33e420-5ce0-4ec5-b7e6-fa8338ecdeeb</errorID>
      <errorWord>法律、法规</errorWord>
      <group>L1_Word</group>
      <groupName>字词问题</groupName>
      <ability>L2_Typo</ability>
      <abilityName>字词错误</abilityName>
      <candidateList>
        <item>法律法规</item>
      </candidateList>
      <explain/>
      <paraID>2D26268A</paraID>
      <start>46</start>
      <end>51</end>
      <status>unmodified</status>
      <modifiedWord/>
      <trackRevisions>false</trackRevisions>
    </reviewItem>
    <reviewItem>
      <errorID>38090d17-e806-4a50-b94e-1da4cfb3e226</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675C6F67</paraID>
      <start>17</start>
      <end>18</end>
      <status>unmodified</status>
      <modifiedWord/>
      <trackRevisions>false</trackRevisions>
    </reviewItem>
    <reviewItem>
      <errorID>3cf9eb31-3c0a-4e23-9ead-a3c8ad70c281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4886341E</paraID>
      <start>0</start>
      <end>2</end>
      <status>unmodified</status>
      <modifiedWord/>
      <trackRevisions>false</trackRevisions>
    </reviewItem>
    <reviewItem>
      <errorID>983529d6-71af-4755-a306-2b16457d4ee3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2F20F3C1</paraID>
      <start>0</start>
      <end>2</end>
      <status>unmodified</status>
      <modifiedWord/>
      <trackRevisions>false</trackRevisions>
    </reviewItem>
    <reviewItem>
      <errorID>e52aadd0-b73d-45c4-a5b4-5b38bf6b7134</errorID>
      <errorWord>日</errorWord>
      <group>L1_Word</group>
      <groupName>字词问题</groupName>
      <ability>L2_Typo</ability>
      <abilityName>字词错误</abilityName>
      <candidateList>
        <item>日内</item>
      </candidateList>
      <explain/>
      <paraID>5E4CE35E</paraID>
      <start>37</start>
      <end>38</end>
      <status>unmodified</status>
      <modifiedWord/>
      <trackRevisions>false</trackRevisions>
    </reviewItem>
    <reviewItem>
      <errorID>3279c4c0-f176-4e8a-80f4-2301c69314c6</errorID>
      <errorWord>日</errorWord>
      <group>L1_Word</group>
      <groupName>字词问题</groupName>
      <ability>L2_Typo</ability>
      <abilityName>字词错误</abilityName>
      <candidateList>
        <item>日内</item>
      </candidateList>
      <explain/>
      <paraID>5E4CE35E</paraID>
      <start>64</start>
      <end>65</end>
      <status>unmodified</status>
      <modifiedWord/>
      <trackRevisions>false</trackRevisions>
    </reviewItem>
    <reviewItem>
      <errorID>bf1d1e68-955a-4d2d-a6bf-33aa141fdad3</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1AD8C357</paraID>
      <start>0</start>
      <end>3</end>
      <status>unmodified</status>
      <modifiedWord/>
      <trackRevisions>false</trackRevisions>
    </reviewItem>
    <reviewItem>
      <errorID>541059a2-fd0a-4d82-828d-2311d59f2603</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282D090</paraID>
      <start>0</start>
      <end>3</end>
      <status>unmodified</status>
      <modifiedWord/>
      <trackRevisions>false</trackRevisions>
    </reviewItem>
    <reviewItem>
      <errorID>e24940dd-82e0-4bf7-b003-26db29f207a6</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34470DA9</paraID>
      <start>0</start>
      <end>3</end>
      <status>unmodified</status>
      <modifiedWord/>
      <trackRevisions>false</trackRevisions>
    </reviewItem>
    <reviewItem>
      <errorID>cd36d6e7-3286-4fed-a53f-85cedeb4731d</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4D7B26B6</paraID>
      <start>0</start>
      <end>3</end>
      <status>unmodified</status>
      <modifiedWord/>
      <trackRevisions>false</trackRevisions>
    </reviewItem>
    <reviewItem>
      <errorID>f3e5036b-49c5-4b11-b2ae-6d7069aaf19c</errorID>
      <errorWord>必须在</errorWord>
      <group>L1_Word</group>
      <groupName>字词问题</groupName>
      <ability>L2_Typo</ability>
      <abilityName>字词错误</abilityName>
      <candidateList>
        <item>必须</item>
      </candidateList>
      <explain>〈副〉❶表示事理上和情理上必要；一定要：学习～刻苦钻研。❷加强命令语气：明天你～来。‖注意“必须”的否定是“无须”、“不须”或“不必”。</explain>
      <paraID>57D82E6F</paraID>
      <start>11</start>
      <end>14</end>
      <status>unmodified</status>
      <modifiedWord/>
      <trackRevisions>false</trackRevisions>
    </reviewItem>
    <reviewItem>
      <errorID>3e7f4135-ac16-43e0-a0e4-f91fd2d67d33</errorID>
      <errorWord>书面形式的</errorWord>
      <group>L1_Word</group>
      <groupName>字词问题</groupName>
      <ability>L2_Typo</ability>
      <abilityName>字词错误</abilityName>
      <candidateList>
        <item>书面形式</item>
      </candidateList>
      <explain/>
      <paraID>70BAC82F</paraID>
      <start>34</start>
      <end>39</end>
      <status>unmodified</status>
      <modifiedWord/>
      <trackRevisions>false</trackRevisions>
    </reviewItem>
    <reviewItem>
      <errorID>0b06ef78-ead1-455a-9b4f-ebaae11adcf1</errorID>
      <errorWord>其它可能</errorWord>
      <group>L1_Word</group>
      <groupName>字词问题</groupName>
      <ability>L2_Alias</ability>
      <abilityName>也作/曾用词</abilityName>
      <candidateList>
        <item>其他可能</item>
      </candidateList>
      <explain>词汇[其它可能]为不规范表述或旧称，其规范书面表述为[其他可能]。</explain>
      <paraID>  870393</paraID>
      <start>158</start>
      <end>162</end>
      <status>unmodified</status>
      <modifiedWord/>
      <trackRevisions>false</trackRevisions>
    </reviewItem>
    <reviewItem>
      <errorID>a1468325-7f99-4b8d-943c-75f8ae409dd8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220FB3ED</paraID>
      <start>0</start>
      <end>3</end>
      <status>unmodified</status>
      <modifiedWord/>
      <trackRevisions>false</trackRevisions>
    </reviewItem>
    <reviewItem>
      <errorID>6c653200-7396-413b-b7d2-0d8e762b4452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D73F80</paraID>
      <start>0</start>
      <end>2</end>
      <status>unmodified</status>
      <modifiedWord/>
      <trackRevisions>false</trackRevisions>
    </reviewItem>
    <reviewItem>
      <errorID>e5f16b80-2508-4d58-88ab-96b04ec2b7c9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2B40CECE</paraID>
      <start>0</start>
      <end>2</end>
      <status>unmodified</status>
      <modifiedWord/>
      <trackRevisions>false</trackRevisions>
    </reviewItem>
    <reviewItem>
      <errorID>210f61d5-7a38-4278-b231-6747dad6ff1d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62E2ACAD</paraID>
      <start>0</start>
      <end>2</end>
      <status>unmodified</status>
      <modifiedWord/>
      <trackRevisions>false</trackRevisions>
    </reviewItem>
    <reviewItem>
      <errorID>9adbcf31-2fbb-4e0b-b13c-b61bf76153c7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337D5644</paraID>
      <start>0</start>
      <end>2</end>
      <status>unmodified</status>
      <modifiedWord/>
      <trackRevisions>false</trackRevisions>
    </reviewItem>
    <reviewItem>
      <errorID>c2f76432-82ca-4c27-9a24-9215820873ff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689523B0</paraID>
      <start>0</start>
      <end>2</end>
      <status>unmodified</status>
      <modifiedWord/>
      <trackRevisions>false</trackRevisions>
    </reviewItem>
    <reviewItem>
      <errorID>f5690231-9d25-41e5-a9e1-5acf404aacf6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48B13373</paraID>
      <start>0</start>
      <end>2</end>
      <status>unmodified</status>
      <modifiedWord/>
      <trackRevisions>false</trackRevisions>
    </reviewItem>
    <reviewItem>
      <errorID>cdb8b992-bfd4-4268-b48b-52768e35843b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595871CF</paraID>
      <start>0</start>
      <end>2</end>
      <status>unmodified</status>
      <modifiedWord/>
      <trackRevisions>false</trackRevisions>
    </reviewItem>
    <reviewItem>
      <errorID>a02e7db5-bf7d-4d8a-846a-ddde94868470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553826D8</paraID>
      <start>0</start>
      <end>2</end>
      <status>unmodified</status>
      <modifiedWord/>
      <trackRevisions>false</trackRevisions>
    </reviewItem>
    <reviewItem>
      <errorID>a59e5e7e-57d8-4193-b7ce-3d8dbb4c989c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26F08C6B</paraID>
      <start>0</start>
      <end>2</end>
      <status>unmodified</status>
      <modifiedWord/>
      <trackRevisions>false</trackRevisions>
    </reviewItem>
    <reviewItem>
      <errorID>6c458b8e-29ef-43ff-b4b2-05b5940f1bbe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2C88C542</paraID>
      <start>0</start>
      <end>2</end>
      <status>unmodified</status>
      <modifiedWord/>
      <trackRevisions>false</trackRevisions>
    </reviewItem>
    <reviewItem>
      <errorID>fdeacb6d-3d9b-4494-91af-98a71577a1ad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2CFA383E</paraID>
      <start>0</start>
      <end>2</end>
      <status>unmodified</status>
      <modifiedWord/>
      <trackRevisions>false</trackRevisions>
    </reviewItem>
    <reviewItem>
      <errorID>f7d3c1ea-4f8b-4d83-adb4-5364d565bad6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14689FB</paraID>
      <start>0</start>
      <end>2</end>
      <status>unmodified</status>
      <modifiedWord/>
      <trackRevisions>false</trackRevisions>
    </reviewItem>
    <reviewItem>
      <errorID>65ff4bcf-bfe8-415a-a7c3-d05d8439701c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10D62091</paraID>
      <start>0</start>
      <end>2</end>
      <status>unmodified</status>
      <modifiedWord/>
      <trackRevisions>false</trackRevisions>
    </reviewItem>
    <reviewItem>
      <errorID>ec13150a-c1c3-42ee-902a-ea8036f919a5</errorID>
      <errorWord>：/</errorWord>
      <group>L1_Punc</group>
      <groupName>标点问题</groupName>
      <ability>L2_Punc_CN</ability>
      <abilityName>标点符号检查</abilityName>
      <candidateList>
        <item>：</item>
      </candidateList>
      <explain/>
      <paraID>1D1F9939</paraID>
      <start>5</start>
      <end>7</end>
      <status>unmodified</status>
      <modifiedWord/>
      <trackRevisions>false</trackRevisions>
    </reviewItem>
    <reviewItem>
      <errorID>af4d8b06-7e4b-469d-811e-5b3db82bfcdd</errorID>
      <errorWord>：/</errorWord>
      <group>L1_Punc</group>
      <groupName>标点问题</groupName>
      <ability>L2_Punc_CN</ability>
      <abilityName>标点符号检查</abilityName>
      <candidateList>
        <item>：</item>
      </candidateList>
      <explain/>
      <paraID>48210C25</paraID>
      <start>5</start>
      <end>7</end>
      <status>unmodified</status>
      <modifiedWord/>
      <trackRevisions>false</trackRevisions>
    </reviewItem>
    <reviewItem>
      <errorID>cba3eccd-dadc-497b-8729-90b20a762f4a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6EBE6E6E</paraID>
      <start>0</start>
      <end>2</end>
      <status>unmodified</status>
      <modifiedWord/>
      <trackRevisions>false</trackRevisions>
    </reviewItem>
    <reviewItem>
      <errorID>00e35e0b-5344-4640-b7c8-82c30970bf77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51E4DBA1</paraID>
      <start>0</start>
      <end>2</end>
      <status>unmodified</status>
      <modifiedWord/>
      <trackRevisions>false</trackRevisions>
    </reviewItem>
    <reviewItem>
      <errorID>b00217e9-cce7-45f5-8cde-9d537488674e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1C5D7FE7</paraID>
      <start>0</start>
      <end>2</end>
      <status>unmodified</status>
      <modifiedWord/>
      <trackRevisions>false</trackRevisions>
    </reviewItem>
    <reviewItem>
      <errorID>4f903b8c-be1c-47eb-b21e-be2e6639ae6e</errorID>
      <errorWord>接受</errorWord>
      <group>L1_Word</group>
      <groupName>字词问题</groupName>
      <ability>L2_Typo</ability>
      <abilityName>字词错误</abilityName>
      <candidateList>
        <item>接收</item>
      </candidateList>
      <explain>〈动〉❶收受：～来稿｜～无线电信号。❷根据法令把机构、财产等拿过来：～逆产。❸接纳：～新会员。</explain>
      <paraID>1C5D7FE7</paraID>
      <start>54</start>
      <end>56</end>
      <status>unmodified</status>
      <modifiedWord/>
      <trackRevisions>false</trackRevisions>
    </reviewItem>
    <reviewItem>
      <errorID>b312953c-35c2-4b0c-ad2e-48d27d810ca2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FF57C2A</paraID>
      <start>0</start>
      <end>2</end>
      <status>unmodified</status>
      <modifiedWord/>
      <trackRevisions>false</trackRevisions>
    </reviewItem>
    <reviewItem>
      <errorID>224b69b8-427c-421a-aa4f-902e0174a52f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63D89D46</paraID>
      <start>0</start>
      <end>2</end>
      <status>unmodified</status>
      <modifiedWord/>
      <trackRevisions>false</trackRevisions>
    </reviewItem>
    <reviewItem>
      <errorID>59893ef2-016c-4dd8-a27d-b10c2a6989ab</errorID>
      <errorWord>。</errorWord>
      <group>L1_Punc</group>
      <groupName>标点问题</groupName>
      <ability>L2_Punc_CN</ability>
      <abilityName>标点符号检查</abilityName>
      <candidateList/>
      <explain/>
      <paraID>59D2848C</paraID>
      <start>66</start>
      <end>67</end>
      <status>unmodified</status>
      <modifiedWord/>
      <trackRevisions>false</trackRevisions>
    </reviewItem>
    <reviewItem>
      <errorID>cd0af418-f0d4-4a60-8505-76ccd0f810e9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6DD11804</paraID>
      <start>0</start>
      <end>2</end>
      <status>unmodified</status>
      <modifiedWord/>
      <trackRevisions>false</trackRevisions>
    </reviewItem>
    <reviewItem>
      <errorID>9a1d6c1b-84e3-40bc-8dc0-26181d840a44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399338E8</paraID>
      <start>0</start>
      <end>2</end>
      <status>unmodified</status>
      <modifiedWord/>
      <trackRevisions>false</trackRevisions>
    </reviewItem>
    <reviewItem>
      <errorID>25b5263b-0bad-479f-aa9f-a7f5760d1dae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6449A105</paraID>
      <start>0</start>
      <end>2</end>
      <status>unmodified</status>
      <modifiedWord/>
      <trackRevisions>false</trackRevisions>
    </reviewItem>
    <reviewItem>
      <errorID>12687745-affe-4442-9593-c81abdc48bea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7732D56</paraID>
      <start>0</start>
      <end>2</end>
      <status>unmodified</status>
      <modifiedWord/>
      <trackRevisions>false</trackRevisions>
    </reviewItem>
    <reviewItem>
      <errorID>78a525aa-7b1a-47e1-8243-e21713cd24f5</errorID>
      <errorWord>(</errorWord>
      <group>L1_Format</group>
      <groupName>格式问题</groupName>
      <ability>L2_HalfPunc_CN</ability>
      <abilityName>全半角检查</abilityName>
      <candidateList>
        <item>（</item>
      </candidateList>
      <explain>文本全半角错误。</explain>
      <paraID>119458FF</paraID>
      <start>13</start>
      <end>14</end>
      <status>unmodified</status>
      <modifiedWord/>
      <trackRevisions>false</trackRevisions>
    </reviewItem>
    <reviewItem>
      <errorID>afd1c8c2-af8e-43f1-9081-486a64809f9b</errorID>
      <errorWord>)</errorWord>
      <group>L1_Format</group>
      <groupName>格式问题</groupName>
      <ability>L2_HalfPunc_CN</ability>
      <abilityName>全半角检查</abilityName>
      <candidateList>
        <item>）</item>
      </candidateList>
      <explain>文本全半角错误。</explain>
      <paraID>119458FF</paraID>
      <start>24</start>
      <end>25</end>
      <status>unmodified</status>
      <modifiedWord/>
      <trackRevisions>false</trackRevisions>
    </reviewItem>
    <reviewItem>
      <errorID>b94dbf86-5493-45b7-b891-0d96f522bef9</errorID>
      <errorWord>(</errorWord>
      <group>L1_Format</group>
      <groupName>格式问题</groupName>
      <ability>L2_HalfPunc_CN</ability>
      <abilityName>全半角检查</abilityName>
      <candidateList>
        <item>（</item>
      </candidateList>
      <explain>文本全半角错误。</explain>
      <paraID>7E8BE2EB</paraID>
      <start>8</start>
      <end>9</end>
      <status>unmodified</status>
      <modifiedWord/>
      <trackRevisions>false</trackRevisions>
    </reviewItem>
    <reviewItem>
      <errorID>58df73ea-08be-4fc4-bb7c-80494923be51</errorID>
      <errorWord>)</errorWord>
      <group>L1_Format</group>
      <groupName>格式问题</groupName>
      <ability>L2_HalfPunc_CN</ability>
      <abilityName>全半角检查</abilityName>
      <candidateList>
        <item>）</item>
      </candidateList>
      <explain>文本全半角错误。</explain>
      <paraID>7E8BE2EB</paraID>
      <start>13</start>
      <end>14</end>
      <status>unmodified</status>
      <modifiedWord/>
      <trackRevisions>false</trackRevisions>
    </reviewItem>
    <reviewItem>
      <errorID>c464be4e-61e0-44be-ab7e-3fb404848cc8</errorID>
      <errorWord>做出</errorWord>
      <group>L1_Word</group>
      <groupName>字词问题</groupName>
      <ability>L2_Typo</ability>
      <abilityName>字词错误</abilityName>
      <candidateList>
        <item>作出</item>
      </candidateList>
      <explain/>
      <paraID> EE35DB4</paraID>
      <start>55</start>
      <end>57</end>
      <status>unmodified</status>
      <modifiedWord/>
      <trackRevisions>false</trackRevisions>
    </reviewItem>
    <reviewItem>
      <errorID>b6e6ff68-54ab-425c-b28c-5bb1fa83a914</errorID>
      <errorWord>做出</errorWord>
      <group>L1_Word</group>
      <groupName>字词问题</groupName>
      <ability>L2_Typo</ability>
      <abilityName>字词错误</abilityName>
      <candidateList>
        <item>作出</item>
      </candidateList>
      <explain/>
      <paraID>1220C521</paraID>
      <start>64</start>
      <end>66</end>
      <status>unmodified</status>
      <modifiedWord/>
      <trackRevisions>false</trackRevisions>
    </reviewItem>
    <reviewItem>
      <errorID>834d8f9b-096c-449a-8379-7169c7b66787</errorID>
      <errorWord>中</errorWord>
      <group>L1_Word</group>
      <groupName>字词问题</groupName>
      <ability>L2_Typo</ability>
      <abilityName>字词错误</abilityName>
      <candidateList>
        <item>中加</item>
      </candidateList>
      <explain/>
      <paraID>11EFBB1A</paraID>
      <start>24</start>
      <end>25</end>
      <status>unmodified</status>
      <modifiedWord/>
      <trackRevisions>false</trackRevisions>
    </reviewItem>
    <reviewItem>
      <errorID>c2be45b4-7070-478a-9541-9002e115af3a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67674E8</paraID>
      <start>0</start>
      <end>2</end>
      <status>unmodified</status>
      <modifiedWord/>
      <trackRevisions>false</trackRevisions>
    </reviewItem>
    <reviewItem>
      <errorID>2783b05a-dd00-4448-809a-06617866a387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21E4D46B</paraID>
      <start>0</start>
      <end>2</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6ec4b8-2843-4834-9338-b65595801b3d}">
  <ds:schemaRefs/>
</ds:datastoreItem>
</file>

<file path=customXml/itemProps3.xml><?xml version="1.0" encoding="utf-8"?>
<ds:datastoreItem xmlns:ds="http://schemas.openxmlformats.org/officeDocument/2006/customXml" ds:itemID="{E4A8895E-22F2-45A8-A364-F0A442BCEC5C}">
  <ds:schemaRefs/>
</ds:datastoreItem>
</file>

<file path=docProps/app.xml><?xml version="1.0" encoding="utf-8"?>
<Properties xmlns="http://schemas.openxmlformats.org/officeDocument/2006/extended-properties" xmlns:vt="http://schemas.openxmlformats.org/officeDocument/2006/docPropsVTypes">
  <Template>Normal.dotm</Template>
  <Pages>65</Pages>
  <Words>30689</Words>
  <Characters>32491</Characters>
  <Lines>169</Lines>
  <Paragraphs>47</Paragraphs>
  <TotalTime>8</TotalTime>
  <ScaleCrop>false</ScaleCrop>
  <LinksUpToDate>false</LinksUpToDate>
  <CharactersWithSpaces>36120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2021-06-06T09:26:00Z</dcterms:created>
  <dc:creator>dgsy</dc:creator>
  <cp:lastModifiedBy>Opt</cp:lastModifiedBy>
  <dcterms:modified xsi:type="dcterms:W3CDTF">2026-06-04T08:50:32Z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5FA0766DC24442798ADA767B2920065D</vt:lpwstr>
  </property>
  <property fmtid="{D5CDD505-2E9C-101B-9397-08002B2CF9AE}" pid="4" name="KSOTemplateDocerSaveRecord">
    <vt:lpwstr>eyJoZGlkIjoiM2U2YWM2YjFjM2NjMjgwNTJhZTk4ZmQ4MjE1NDdmZTEiLCJ1c2VySWQiOiI0MTk5NTE4MTIifQ==</vt:lpwstr>
  </property>
</Properties>
</file>