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441900011-2025-00098</w:t>
      </w:r>
    </w:p>
    <w:p>
      <w:pPr>
        <w:pStyle w:val="null3"/>
        <w:jc w:val="center"/>
        <w:outlineLvl w:val="3"/>
      </w:pPr>
      <w:r>
        <w:rPr>
          <w:sz w:val="24"/>
          <w:b/>
        </w:rPr>
        <w:t>采购项目编号：</w:t>
      </w:r>
      <w:r>
        <w:rPr>
          <w:sz w:val="24"/>
          <w:b/>
        </w:rPr>
        <w:t>441900011-2025-00098</w:t>
      </w:r>
    </w:p>
    <w:p>
      <w:pPr>
        <w:pStyle w:val="null3"/>
        <w:jc w:val="center"/>
        <w:outlineLvl w:val="3"/>
      </w:pPr>
      <w:r>
        <w:rPr>
          <w:sz w:val="24"/>
          <w:b/>
        </w:rPr>
        <w:t>项目名称：</w:t>
      </w:r>
      <w:r>
        <w:rPr>
          <w:sz w:val="24"/>
          <w:b/>
        </w:rPr>
        <w:t>东莞滨海湾新区算力资源租赁服务项目</w:t>
      </w:r>
    </w:p>
    <w:p>
      <w:pPr>
        <w:pStyle w:val="null3"/>
        <w:jc w:val="center"/>
        <w:outlineLvl w:val="3"/>
      </w:pPr>
      <w:r>
        <w:rPr>
          <w:sz w:val="24"/>
          <w:b/>
        </w:rPr>
        <w:t>采购人：</w:t>
      </w:r>
      <w:r>
        <w:rPr>
          <w:sz w:val="24"/>
          <w:b/>
        </w:rPr>
        <w:t>东莞滨海湾新区管理委员会</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东莞滨海湾新区管理委员会</w:t>
      </w:r>
      <w:r>
        <w:rPr/>
        <w:t>的委托，采用</w:t>
      </w:r>
      <w:r>
        <w:rPr/>
        <w:t>公开招标</w:t>
      </w:r>
      <w:r>
        <w:rPr/>
        <w:t>方式组织采购</w:t>
      </w:r>
      <w:r>
        <w:rPr/>
        <w:t>东莞滨海湾新区算力资源租赁服务项目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东莞滨海湾新区算力资源租赁服务项目</w:t>
      </w:r>
    </w:p>
    <w:p>
      <w:pPr>
        <w:pStyle w:val="null3"/>
        <w:ind w:firstLine="480"/>
      </w:pPr>
      <w:r>
        <w:rPr/>
        <w:t>采购计划编号：</w:t>
      </w:r>
      <w:r>
        <w:rPr/>
        <w:t>441900011-2025-00098</w:t>
      </w:r>
    </w:p>
    <w:p>
      <w:pPr>
        <w:pStyle w:val="null3"/>
        <w:ind w:firstLine="480"/>
      </w:pPr>
      <w:r>
        <w:rPr/>
        <w:t>采购项目编号：</w:t>
      </w:r>
      <w:r>
        <w:rPr/>
        <w:t>441900011-2025-00098</w:t>
      </w:r>
    </w:p>
    <w:p>
      <w:pPr>
        <w:pStyle w:val="null3"/>
        <w:ind w:firstLine="480"/>
      </w:pPr>
      <w:r>
        <w:rPr/>
        <w:t>采购方式：</w:t>
      </w:r>
      <w:r>
        <w:rPr/>
        <w:t>公开招标</w:t>
      </w:r>
    </w:p>
    <w:p>
      <w:pPr>
        <w:pStyle w:val="null3"/>
        <w:ind w:firstLine="480"/>
      </w:pPr>
      <w:r>
        <w:rPr/>
        <w:t>预算金额：</w:t>
      </w:r>
      <w:r>
        <w:rPr/>
        <w:t>3,096,000.00</w:t>
      </w:r>
      <w:r>
        <w:rPr/>
        <w:t>元</w:t>
      </w:r>
    </w:p>
    <w:p>
      <w:pPr>
        <w:pStyle w:val="null3"/>
        <w:outlineLvl w:val="3"/>
      </w:pPr>
      <w:r>
        <w:rPr>
          <w:sz w:val="24"/>
          <w:b/>
        </w:rPr>
        <w:t>2.项目内容及需求情况（采购项目技术规格、参数及要求）</w:t>
      </w:r>
    </w:p>
    <w:p>
      <w:pPr>
        <w:pStyle w:val="null3"/>
      </w:pPr>
      <w:r>
        <w:rPr/>
        <w:t>采购包1(东莞滨海湾新区算力资源租赁服务项目):</w:t>
      </w:r>
    </w:p>
    <w:p>
      <w:pPr>
        <w:pStyle w:val="null3"/>
      </w:pPr>
      <w:r>
        <w:rPr/>
        <w:t>采购包预算金额：3,096,000.00元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其他租赁服务</w:t>
            </w:r>
          </w:p>
        </w:tc>
        <w:tc>
          <w:tcPr>
            <w:tcW w:type="dxa" w:w="2052"/>
          </w:tcPr>
          <w:p>
            <w:pPr>
              <w:pStyle w:val="null3"/>
            </w:pPr>
            <w:r>
              <w:rPr/>
              <w:t>东莞滨海湾新区算力资源租赁服务项目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3,096,000.00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合同履行期限：合同签订后，自中标人提供的算力资源经采购人确认交付通过次日起三年。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采购包1（东莞滨海湾新区算力资源租赁服务项目）：</w:t>
      </w:r>
      <w:r>
        <w:rPr/>
        <w:t>本项目不属于专门面向中小企业采购项目。</w:t>
      </w:r>
    </w:p>
    <w:p>
      <w:pPr>
        <w:pStyle w:val="null3"/>
        <w:outlineLvl w:val="3"/>
      </w:pPr>
      <w:r>
        <w:rPr>
          <w:sz w:val="24"/>
          <w:b/>
        </w:rPr>
        <w:t>3.本项目特定的资格要求：</w:t>
      </w:r>
    </w:p>
    <w:p>
      <w:pPr>
        <w:pStyle w:val="null3"/>
      </w:pPr>
      <w:r>
        <w:rPr/>
        <w:t>采购包1（东莞滨海湾新区算力资源租赁服务项目）：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东莞滨海湾新区管理委员会</w:t>
      </w:r>
    </w:p>
    <w:p>
      <w:pPr>
        <w:pStyle w:val="null3"/>
        <w:ind w:firstLine="480"/>
      </w:pPr>
      <w:r>
        <w:rPr/>
        <w:t xml:space="preserve"> 地址：</w:t>
      </w:r>
      <w:r>
        <w:rPr/>
        <w:t>东莞滨海湾新区湾区1号</w:t>
      </w:r>
    </w:p>
    <w:p>
      <w:pPr>
        <w:pStyle w:val="null3"/>
        <w:ind w:firstLine="480"/>
      </w:pPr>
      <w:r>
        <w:rPr/>
        <w:t xml:space="preserve"> 联系方式：</w:t>
      </w:r>
      <w:r>
        <w:rPr/>
        <w:t>0769-26889224</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东莞滨海湾新区算力资源租赁服务项目</w:t>
      </w:r>
    </w:p>
    <w:p>
      <w:pPr>
        <w:pStyle w:val="null3"/>
      </w:pPr>
      <w:r>
        <w:rPr/>
        <w:t>采购包1（东莞滨海湾新区算力资源租赁服务项目）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合同签订后，自中标人提供的算力资源经采购人确认交付通过次日起三年。</w:t>
            </w:r>
          </w:p>
        </w:tc>
      </w:tr>
      <w:tr>
        <w:tc>
          <w:tcPr>
            <w:tcW w:type="dxa" w:w="4153"/>
          </w:tcPr>
          <w:p>
            <w:pPr>
              <w:pStyle w:val="null3"/>
            </w:pPr>
            <w:r>
              <w:rPr/>
              <w:t>标的提供的地点</w:t>
            </w:r>
          </w:p>
        </w:tc>
        <w:tc>
          <w:tcPr>
            <w:tcW w:type="dxa" w:w="4153"/>
          </w:tcPr>
          <w:p>
            <w:pPr>
              <w:pStyle w:val="null3"/>
            </w:pPr>
            <w:r>
              <w:rPr/>
              <w:t>东莞滨海湾 (或采购人指定地点)</w:t>
            </w:r>
          </w:p>
        </w:tc>
      </w:tr>
      <w:tr/>
      <w:tr/>
      <w:tr>
        <w:tc>
          <w:tcPr>
            <w:tcW w:type="dxa" w:w="4153"/>
          </w:tcPr>
          <w:p>
            <w:pPr>
              <w:pStyle w:val="null3"/>
            </w:pPr>
            <w:r>
              <w:rPr/>
              <w:t>付款方式</w:t>
            </w:r>
          </w:p>
        </w:tc>
        <w:tc>
          <w:tcPr>
            <w:tcW w:type="dxa" w:w="4153"/>
          </w:tcPr>
          <w:p>
            <w:pPr>
              <w:pStyle w:val="null3"/>
            </w:pPr>
            <w:r>
              <w:rPr/>
              <w:t>第1期为(付款方式)：支付比例100%，1、采购人以人民币形式支付给中标人。 2、合同期为3年，每个月的租赁费按平均36个月计算，采用先用后付原则按月进行支付，中标人提供的算力资源经采购人确认交付通过后，采购人每月支付一次租赁费（即每次支付租赁费=合同总金额÷36），中标人在次月15日前开具有效的相应发票给采购人，采购人在收到发票及相关付款资料确认无误后30个工作日内支付相应服务费。涉及财政审核的，财政审核期间不视为采购人逾期付款。 3、中标人凭以下有效文件与采购人结算： （1）合同； （2）中标人开具的正式发票； （3）中标通知书；。</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中标人需按采购人要求进行设备摆放，保证所有设备符合行业正常运行标准，经中标人自检合格后，双方以项目交付确认书形式对中标人交付成果进行确认，项目交付确认书经双方签字盖章后视为项目验收通过。设备运行质量满足验收要求后，方可用以提供使用服务。 （二）如验收不合格，中标人在接到采购人整改通知后应立即进行整改，直至验收合格。</w:t>
            </w:r>
          </w:p>
        </w:tc>
      </w:tr>
      <w:tr>
        <w:tc>
          <w:tcPr>
            <w:tcW w:type="dxa" w:w="4153"/>
          </w:tcPr>
          <w:p>
            <w:pPr>
              <w:pStyle w:val="null3"/>
            </w:pPr>
            <w:r>
              <w:rPr/>
              <w:t>履约保证金</w:t>
            </w:r>
          </w:p>
        </w:tc>
        <w:tc>
          <w:tcPr>
            <w:tcW w:type="dxa" w:w="4153"/>
          </w:tcPr>
          <w:p>
            <w:pPr>
              <w:pStyle w:val="null3"/>
            </w:pPr>
            <w:r>
              <w:rPr/>
              <w:t>收取比例：5%,说明：中标人应在领取中标通知书之后签订合同之前递交履约保证金，履约保证金金额为合同金额的5%，履约保证金可采用保证金（银行转账、电汇）方式，或采用银行出具的履约担保函方式。①以银行转账形式提供履约担保的，履约保证金在合同期满后或最终验收合格后，中标人向采购人提交退回履约保证金的申请、履约保证金汇款凭证复印件、采购合同、采购项目验收报告原件、中标通知书复印件，前往采购人办理履约保证金退还手续。在本项目合同执行期间，如因中标人的过失或工作不配合的原因造成采购人经济损失的，采购人有权根据损失的数额直接在履约保证金中扣除并书面通知中标人。发生下列情况之一的，履约保证金不予退还：（1）中标人将本项目转让给他人，或者在投标文件中未说明，且未经采购人同意，将中标项目分包给他人的，采购人可依法不予退还其履约保证金；（2）中标人在履行采购合同期间，违反有关法律法规的规定及合同约定的条款，损害了采购人的利益，采购人可依法不予退还其履约保证金。②以履约保函形式提供履约担保的，中标人履行完毕合同义务后，及履约保证函到期时，采购人将履约保函退回给中标人。在本项目合同执行期间，如因中标人的过失或工作不配合的原因造成采购人经济损失的，采购人有权按照履约保函中的条款执行并书面通知中标人。</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一，报价要求： 报价应包括本次招标所有服务内容的费用，包括人工、材料、措施费、税费以及合同实施过程中等不可预见的全部费用。</w:t>
            </w:r>
          </w:p>
          <w:p>
            <w:pPr>
              <w:pStyle w:val="null3"/>
            </w:pPr>
            <w:r>
              <w:rPr/>
              <w:t>二，合同条款：投标人实质响应合同条款。</w:t>
            </w:r>
          </w:p>
          <w:p>
            <w:pPr>
              <w:pStyle w:val="null3"/>
            </w:pPr>
            <w:r>
              <w:rPr/>
              <w:t>三，其他要求：投标人应充分结合本招标文件上下文了解项目招标需求、采购文件未尽事宜，将在合同签订或项目执行过程中双方协商确定，供应商须无条件满足采购单位的合理要求。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其他租赁服务</w:t>
            </w:r>
          </w:p>
        </w:tc>
        <w:tc>
          <w:tcPr>
            <w:tcW w:type="dxa" w:w="933"/>
          </w:tcPr>
          <w:p>
            <w:pPr>
              <w:pStyle w:val="null3"/>
              <w:jc w:val="left"/>
            </w:pPr>
            <w:r>
              <w:rPr/>
              <w:t>东莞滨海湾新区算力资源租赁服务项目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3,096,000.00</w:t>
            </w:r>
          </w:p>
        </w:tc>
        <w:tc>
          <w:tcPr>
            <w:tcW w:type="dxa" w:w="933"/>
          </w:tcPr>
          <w:p>
            <w:pPr>
              <w:pStyle w:val="null3"/>
              <w:jc w:val="right"/>
            </w:pPr>
            <w:r>
              <w:rPr/>
              <w:t>3,096,000.00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东莞滨海湾新区算力资源租赁服务项目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一、概述</w:t>
            </w:r>
          </w:p>
          <w:p>
            <w:pPr>
              <w:pStyle w:val="null3"/>
              <w:ind w:firstLine="315"/>
              <w:jc w:val="both"/>
            </w:pPr>
            <w:r>
              <w:rPr>
                <w:sz w:val="21"/>
              </w:rPr>
              <w:t>本项目旨在通过本地化部署的高性能算力集群，以及为用户提供</w:t>
            </w:r>
            <w:r>
              <w:rPr>
                <w:sz w:val="21"/>
              </w:rPr>
              <w:t>GPU裸金属服务器租赁及配套大模型部署实施服务，支持东莞滨海湾新区AI模型训练、推理服务任务，满足数据安全需求。服务涵盖硬件资源、模型部署、运维保障以及软件适配调优。</w:t>
            </w:r>
          </w:p>
          <w:p>
            <w:pPr>
              <w:pStyle w:val="null3"/>
              <w:jc w:val="both"/>
              <w:outlineLvl w:val="3"/>
            </w:pPr>
            <w:r>
              <w:rPr>
                <w:sz w:val="24"/>
                <w:b/>
              </w:rPr>
              <w:t>二、招标清单</w:t>
            </w:r>
          </w:p>
          <w:tbl>
            <w:tblPr>
              <w:tblBorders>
                <w:top w:val="none" w:color="000000" w:sz="4"/>
                <w:left w:val="none" w:color="000000" w:sz="4"/>
                <w:bottom w:val="none" w:color="000000" w:sz="4"/>
                <w:right w:val="none" w:color="000000" w:sz="4"/>
                <w:insideH w:val="none"/>
                <w:insideV w:val="none"/>
              </w:tblBorders>
            </w:tblPr>
            <w:tblGrid>
              <w:gridCol w:w="438"/>
              <w:gridCol w:w="844"/>
              <w:gridCol w:w="500"/>
              <w:gridCol w:w="511"/>
              <w:gridCol w:w="3305"/>
            </w:tblGrid>
            <w:tr>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8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5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3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技术要求</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服务器</w:t>
                  </w:r>
                  <w:r>
                    <w:rPr>
                      <w:sz w:val="21"/>
                    </w:rPr>
                    <w:t>租赁服务</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月</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36</w:t>
                  </w:r>
                  <w:r>
                    <w:rPr>
                      <w:sz w:val="21"/>
                    </w:rPr>
                    <w:t>.00</w:t>
                  </w:r>
                </w:p>
              </w:tc>
              <w:tc>
                <w:tcPr>
                  <w:tcW w:type="dxa" w:w="3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GPU</w:t>
                  </w:r>
                  <w:r>
                    <w:rPr>
                      <w:sz w:val="21"/>
                    </w:rPr>
                    <w:t>：</w:t>
                  </w:r>
                  <w:r>
                    <w:rPr>
                      <w:sz w:val="21"/>
                    </w:rPr>
                    <w:t>显存</w:t>
                  </w:r>
                  <w:r>
                    <w:rPr>
                      <w:sz w:val="21"/>
                    </w:rPr>
                    <w:t>640G，算力&gt;&gt;15PFlops;</w:t>
                  </w:r>
                </w:p>
                <w:p>
                  <w:pPr>
                    <w:pStyle w:val="null3"/>
                    <w:jc w:val="left"/>
                  </w:pPr>
                  <w:r>
                    <w:rPr>
                      <w:sz w:val="21"/>
                    </w:rPr>
                    <w:t>CPU：核心数96核，内存2048GB，主频≥2.1GHz；</w:t>
                  </w:r>
                </w:p>
                <w:p>
                  <w:pPr>
                    <w:pStyle w:val="null3"/>
                    <w:jc w:val="left"/>
                  </w:pPr>
                  <w:r>
                    <w:rPr>
                      <w:sz w:val="21"/>
                    </w:rPr>
                    <w:t>存储系统：</w:t>
                  </w:r>
                  <w:r>
                    <w:rPr>
                      <w:sz w:val="21"/>
                    </w:rPr>
                    <w:t>15.36TB</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基础技术服务</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.00</w:t>
                  </w:r>
                </w:p>
              </w:tc>
              <w:tc>
                <w:tcPr>
                  <w:tcW w:type="dxa" w:w="3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按实际需求提供系统预装、调度支持、镜像仓库和开源模型</w:t>
                  </w:r>
                </w:p>
              </w:tc>
            </w:tr>
          </w:tbl>
          <w:p>
            <w:pPr>
              <w:pStyle w:val="null3"/>
              <w:jc w:val="both"/>
              <w:outlineLvl w:val="3"/>
            </w:pPr>
            <w:r>
              <w:rPr>
                <w:sz w:val="24"/>
                <w:b/>
              </w:rPr>
              <w:t>三、硬件配置要求</w:t>
            </w:r>
          </w:p>
          <w:p>
            <w:pPr>
              <w:pStyle w:val="null3"/>
              <w:ind w:firstLine="315"/>
              <w:jc w:val="both"/>
            </w:pPr>
            <w:r>
              <w:rPr>
                <w:sz w:val="21"/>
              </w:rPr>
              <w:t>1、硬件架构与机箱规格</w:t>
            </w:r>
          </w:p>
          <w:p>
            <w:pPr>
              <w:pStyle w:val="null3"/>
              <w:ind w:firstLine="315"/>
              <w:jc w:val="both"/>
            </w:pPr>
            <w:r>
              <w:rPr>
                <w:sz w:val="21"/>
              </w:rPr>
              <w:t>机箱规格：</w:t>
            </w:r>
            <w:r>
              <w:rPr>
                <w:sz w:val="21"/>
              </w:rPr>
              <w:t>5U标准机架式设计，兼容19英寸机柜，标配原厂导轨。</w:t>
            </w:r>
          </w:p>
          <w:p>
            <w:pPr>
              <w:pStyle w:val="null3"/>
              <w:ind w:firstLine="315"/>
              <w:jc w:val="both"/>
            </w:pPr>
            <w:r>
              <w:rPr>
                <w:sz w:val="21"/>
              </w:rPr>
              <w:t>▲扩展插槽：支持12个PCIe 5.0标准插槽，1个OCP 3.0网卡专用插槽。</w:t>
            </w:r>
          </w:p>
          <w:p>
            <w:pPr>
              <w:pStyle w:val="null3"/>
              <w:ind w:firstLine="315"/>
              <w:jc w:val="both"/>
            </w:pPr>
            <w:r>
              <w:rPr>
                <w:sz w:val="21"/>
              </w:rPr>
              <w:t>2、计算性能要求</w:t>
            </w:r>
          </w:p>
          <w:p>
            <w:pPr>
              <w:pStyle w:val="null3"/>
              <w:ind w:firstLine="315"/>
              <w:jc w:val="both"/>
            </w:pPr>
            <w:r>
              <w:rPr>
                <w:sz w:val="21"/>
              </w:rPr>
              <w:t>中央处理器（</w:t>
            </w:r>
            <w:r>
              <w:rPr>
                <w:sz w:val="21"/>
              </w:rPr>
              <w:t>CPU）：配置两枚服务器级处理器，满足以下规格</w:t>
            </w:r>
          </w:p>
          <w:p>
            <w:pPr>
              <w:pStyle w:val="null3"/>
              <w:ind w:firstLine="315"/>
              <w:jc w:val="both"/>
            </w:pPr>
            <w:r>
              <w:rPr>
                <w:sz w:val="21"/>
              </w:rPr>
              <w:t>▲物理核心数：单颗≥48核，总线程数≥96</w:t>
            </w:r>
          </w:p>
          <w:p>
            <w:pPr>
              <w:pStyle w:val="null3"/>
              <w:ind w:firstLine="315"/>
              <w:jc w:val="both"/>
            </w:pPr>
            <w:r>
              <w:rPr>
                <w:sz w:val="21"/>
              </w:rPr>
              <w:t>▲主频：基础频率≥2.1GHz，睿频≥3.8GHz</w:t>
            </w:r>
          </w:p>
          <w:p>
            <w:pPr>
              <w:pStyle w:val="null3"/>
              <w:ind w:firstLine="315"/>
              <w:jc w:val="both"/>
            </w:pPr>
            <w:r>
              <w:rPr>
                <w:sz w:val="21"/>
              </w:rPr>
              <w:t>缓存：三级缓存</w:t>
            </w:r>
            <w:r>
              <w:rPr>
                <w:sz w:val="21"/>
              </w:rPr>
              <w:t>≥105MB</w:t>
            </w:r>
          </w:p>
          <w:p>
            <w:pPr>
              <w:pStyle w:val="null3"/>
              <w:ind w:firstLine="315"/>
              <w:jc w:val="both"/>
            </w:pPr>
            <w:r>
              <w:rPr>
                <w:sz w:val="21"/>
              </w:rPr>
              <w:t>制程工艺：</w:t>
            </w:r>
            <w:r>
              <w:rPr>
                <w:sz w:val="21"/>
              </w:rPr>
              <w:t>≤7nm</w:t>
            </w:r>
          </w:p>
          <w:p>
            <w:pPr>
              <w:pStyle w:val="null3"/>
              <w:ind w:firstLine="315"/>
              <w:jc w:val="both"/>
            </w:pPr>
            <w:r>
              <w:rPr>
                <w:sz w:val="21"/>
              </w:rPr>
              <w:t>热设计功耗（</w:t>
            </w:r>
            <w:r>
              <w:rPr>
                <w:sz w:val="21"/>
              </w:rPr>
              <w:t>TDP）：290W≤TDP≤350W</w:t>
            </w:r>
          </w:p>
          <w:p>
            <w:pPr>
              <w:pStyle w:val="null3"/>
              <w:ind w:firstLine="315"/>
              <w:jc w:val="both"/>
            </w:pPr>
            <w:r>
              <w:rPr>
                <w:sz w:val="21"/>
              </w:rPr>
              <w:t>指令集：支持</w:t>
            </w:r>
            <w:r>
              <w:rPr>
                <w:sz w:val="21"/>
              </w:rPr>
              <w:t>AMX、AVX-512</w:t>
            </w:r>
          </w:p>
          <w:p>
            <w:pPr>
              <w:pStyle w:val="null3"/>
              <w:ind w:firstLine="315"/>
              <w:jc w:val="both"/>
            </w:pPr>
            <w:r>
              <w:rPr>
                <w:sz w:val="21"/>
              </w:rPr>
              <w:t>互联协议：</w:t>
            </w:r>
            <w:r>
              <w:rPr>
                <w:sz w:val="21"/>
              </w:rPr>
              <w:t>CPU间互联采用非PCIe底层协议。</w:t>
            </w:r>
          </w:p>
          <w:p>
            <w:pPr>
              <w:pStyle w:val="null3"/>
              <w:ind w:firstLine="315"/>
              <w:jc w:val="both"/>
            </w:pPr>
            <w:r>
              <w:rPr>
                <w:sz w:val="21"/>
              </w:rPr>
              <w:t>图形处理器（</w:t>
            </w:r>
            <w:r>
              <w:rPr>
                <w:sz w:val="21"/>
              </w:rPr>
              <w:t>GPU）：配置≥8块高性能计算GPU卡，满足以下规格：</w:t>
            </w:r>
          </w:p>
          <w:p>
            <w:pPr>
              <w:pStyle w:val="null3"/>
              <w:ind w:firstLine="315"/>
              <w:jc w:val="both"/>
            </w:pPr>
            <w:r>
              <w:rPr>
                <w:sz w:val="21"/>
              </w:rPr>
              <w:t>▲单卡显存：≥80GB，支持NVLink高速互连技术</w:t>
            </w:r>
          </w:p>
          <w:p>
            <w:pPr>
              <w:pStyle w:val="null3"/>
              <w:ind w:firstLine="315"/>
              <w:jc w:val="both"/>
            </w:pPr>
            <w:r>
              <w:rPr>
                <w:sz w:val="21"/>
              </w:rPr>
              <w:t>接口类型：</w:t>
            </w:r>
            <w:r>
              <w:rPr>
                <w:sz w:val="21"/>
              </w:rPr>
              <w:t>SXM标准接口</w:t>
            </w:r>
          </w:p>
          <w:p>
            <w:pPr>
              <w:pStyle w:val="null3"/>
              <w:ind w:firstLine="315"/>
              <w:jc w:val="both"/>
            </w:pPr>
            <w:r>
              <w:rPr>
                <w:sz w:val="21"/>
              </w:rPr>
              <w:t>散热方案：标配</w:t>
            </w:r>
            <w:r>
              <w:rPr>
                <w:sz w:val="21"/>
              </w:rPr>
              <w:t>1套专用GPU服务器散热套件</w:t>
            </w:r>
          </w:p>
          <w:p>
            <w:pPr>
              <w:pStyle w:val="null3"/>
              <w:ind w:firstLine="315"/>
              <w:jc w:val="both"/>
            </w:pPr>
            <w:r>
              <w:rPr>
                <w:sz w:val="21"/>
              </w:rPr>
              <w:t>▲总算力（FP16）峰值&gt;15PFlops</w:t>
            </w:r>
          </w:p>
          <w:p>
            <w:pPr>
              <w:pStyle w:val="null3"/>
              <w:ind w:firstLine="315"/>
              <w:jc w:val="both"/>
            </w:pPr>
            <w:r>
              <w:rPr>
                <w:sz w:val="21"/>
              </w:rPr>
              <w:t>3、内存与存储配置</w:t>
            </w:r>
          </w:p>
          <w:p>
            <w:pPr>
              <w:pStyle w:val="null3"/>
              <w:ind w:firstLine="315"/>
              <w:jc w:val="both"/>
            </w:pPr>
            <w:r>
              <w:rPr>
                <w:sz w:val="21"/>
              </w:rPr>
              <w:t>内存系统</w:t>
            </w:r>
          </w:p>
          <w:p>
            <w:pPr>
              <w:pStyle w:val="null3"/>
              <w:ind w:firstLine="315"/>
              <w:jc w:val="both"/>
            </w:pPr>
            <w:r>
              <w:rPr>
                <w:sz w:val="21"/>
              </w:rPr>
              <w:t>▲总容量：≥2048GB</w:t>
            </w:r>
          </w:p>
          <w:p>
            <w:pPr>
              <w:pStyle w:val="null3"/>
              <w:ind w:firstLine="315"/>
              <w:jc w:val="both"/>
            </w:pPr>
            <w:r>
              <w:rPr>
                <w:sz w:val="21"/>
              </w:rPr>
              <w:t>单条规格：</w:t>
            </w:r>
            <w:r>
              <w:rPr>
                <w:sz w:val="21"/>
              </w:rPr>
              <w:t>64GB DDR5，速率≥4800MT/s</w:t>
            </w:r>
          </w:p>
          <w:p>
            <w:pPr>
              <w:pStyle w:val="null3"/>
              <w:ind w:firstLine="315"/>
              <w:jc w:val="both"/>
            </w:pPr>
            <w:r>
              <w:rPr>
                <w:sz w:val="21"/>
              </w:rPr>
              <w:t>类型：支持</w:t>
            </w:r>
            <w:r>
              <w:rPr>
                <w:sz w:val="21"/>
              </w:rPr>
              <w:t>RDIMM或LRDIMM，需提供兼容性列表。</w:t>
            </w:r>
          </w:p>
          <w:p>
            <w:pPr>
              <w:pStyle w:val="null3"/>
              <w:ind w:firstLine="315"/>
              <w:jc w:val="both"/>
            </w:pPr>
            <w:r>
              <w:rPr>
                <w:sz w:val="21"/>
              </w:rPr>
              <w:t>存储系统</w:t>
            </w:r>
          </w:p>
          <w:p>
            <w:pPr>
              <w:pStyle w:val="null3"/>
              <w:ind w:firstLine="315"/>
              <w:jc w:val="both"/>
            </w:pPr>
            <w:r>
              <w:rPr>
                <w:sz w:val="21"/>
              </w:rPr>
              <w:t>系统盘：</w:t>
            </w:r>
            <w:r>
              <w:rPr>
                <w:sz w:val="21"/>
              </w:rPr>
              <w:t>≥2×960GB M.2 SSD，支持热插拔。</w:t>
            </w:r>
          </w:p>
          <w:p>
            <w:pPr>
              <w:pStyle w:val="null3"/>
              <w:ind w:firstLine="315"/>
              <w:jc w:val="both"/>
            </w:pPr>
            <w:r>
              <w:rPr>
                <w:sz w:val="21"/>
              </w:rPr>
              <w:t>▲数据盘：≥4×3.84TB NVMe SSD，支持PCIe 5.0通道。</w:t>
            </w:r>
          </w:p>
          <w:p>
            <w:pPr>
              <w:pStyle w:val="null3"/>
              <w:ind w:firstLine="315"/>
              <w:jc w:val="both"/>
            </w:pPr>
            <w:r>
              <w:rPr>
                <w:sz w:val="21"/>
              </w:rPr>
              <w:t>阵列控制器：</w:t>
            </w:r>
          </w:p>
          <w:p>
            <w:pPr>
              <w:pStyle w:val="null3"/>
              <w:ind w:firstLine="315"/>
              <w:jc w:val="both"/>
            </w:pPr>
            <w:r>
              <w:rPr>
                <w:sz w:val="21"/>
              </w:rPr>
              <w:t>▲支持RAID级别：0/1/10/5/50/6/60</w:t>
            </w:r>
          </w:p>
          <w:p>
            <w:pPr>
              <w:pStyle w:val="null3"/>
              <w:ind w:firstLine="315"/>
              <w:jc w:val="both"/>
            </w:pPr>
            <w:r>
              <w:rPr>
                <w:sz w:val="21"/>
              </w:rPr>
              <w:t>缓存容量：</w:t>
            </w:r>
            <w:r>
              <w:rPr>
                <w:sz w:val="21"/>
              </w:rPr>
              <w:t>≥2GB，支持缓存数据保护，配置掉电保护模块（PLP）。</w:t>
            </w:r>
          </w:p>
          <w:p>
            <w:pPr>
              <w:pStyle w:val="null3"/>
              <w:ind w:firstLine="315"/>
              <w:jc w:val="both"/>
            </w:pPr>
            <w:r>
              <w:rPr>
                <w:sz w:val="21"/>
              </w:rPr>
              <w:t>4、网络与外设接口</w:t>
            </w:r>
          </w:p>
          <w:p>
            <w:pPr>
              <w:pStyle w:val="null3"/>
              <w:ind w:firstLine="315"/>
              <w:jc w:val="both"/>
            </w:pPr>
            <w:r>
              <w:rPr>
                <w:sz w:val="21"/>
              </w:rPr>
              <w:t>网络接口：标配双口千兆电口网卡</w:t>
            </w:r>
          </w:p>
          <w:p>
            <w:pPr>
              <w:pStyle w:val="null3"/>
              <w:ind w:firstLine="315"/>
              <w:jc w:val="both"/>
            </w:pPr>
            <w:r>
              <w:rPr>
                <w:sz w:val="21"/>
              </w:rPr>
              <w:t>扩展配置：</w:t>
            </w:r>
            <w:r>
              <w:rPr>
                <w:sz w:val="21"/>
              </w:rPr>
              <w:t>1块双端口25GE光口网卡，▲含满配</w:t>
            </w:r>
            <w:r>
              <w:rPr>
                <w:sz w:val="21"/>
              </w:rPr>
              <w:t>25G</w:t>
            </w:r>
            <w:r>
              <w:rPr>
                <w:sz w:val="21"/>
              </w:rPr>
              <w:t>多模光模块，光模块功率</w:t>
            </w:r>
            <w:r>
              <w:rPr>
                <w:sz w:val="21"/>
              </w:rPr>
              <w:t>&lt;1w（提供设备出厂测试报告复印件加盖投标人公章）</w:t>
            </w:r>
          </w:p>
          <w:p>
            <w:pPr>
              <w:pStyle w:val="null3"/>
              <w:ind w:firstLine="315"/>
              <w:jc w:val="both"/>
            </w:pPr>
            <w:r>
              <w:rPr>
                <w:sz w:val="21"/>
              </w:rPr>
              <w:t>外设接口</w:t>
            </w:r>
          </w:p>
          <w:p>
            <w:pPr>
              <w:pStyle w:val="null3"/>
              <w:ind w:firstLine="315"/>
              <w:jc w:val="both"/>
            </w:pPr>
            <w:r>
              <w:rPr>
                <w:sz w:val="21"/>
              </w:rPr>
              <w:t>前端面板：支持</w:t>
            </w:r>
            <w:r>
              <w:rPr>
                <w:sz w:val="21"/>
              </w:rPr>
              <w:t>5个USB 3.0接口、1个VGA接口、1个HDMI管理网口、1个Type-C Debug接口。</w:t>
            </w:r>
          </w:p>
          <w:p>
            <w:pPr>
              <w:pStyle w:val="null3"/>
              <w:ind w:firstLine="315"/>
              <w:jc w:val="both"/>
            </w:pPr>
            <w:r>
              <w:rPr>
                <w:sz w:val="21"/>
              </w:rPr>
              <w:t>无线扩展：支持外接</w:t>
            </w:r>
            <w:r>
              <w:rPr>
                <w:sz w:val="21"/>
              </w:rPr>
              <w:t>USB WiFi模块，允许管理员通过手机或PC无线登录管理界面。</w:t>
            </w:r>
          </w:p>
          <w:p>
            <w:pPr>
              <w:pStyle w:val="null3"/>
              <w:ind w:firstLine="315"/>
              <w:jc w:val="both"/>
            </w:pPr>
            <w:r>
              <w:rPr>
                <w:sz w:val="21"/>
              </w:rPr>
              <w:t>5、电源系统</w:t>
            </w:r>
          </w:p>
          <w:p>
            <w:pPr>
              <w:pStyle w:val="null3"/>
              <w:ind w:firstLine="315"/>
              <w:jc w:val="both"/>
            </w:pPr>
            <w:r>
              <w:rPr>
                <w:sz w:val="21"/>
              </w:rPr>
              <w:t>电源配置</w:t>
            </w:r>
          </w:p>
          <w:p>
            <w:pPr>
              <w:pStyle w:val="null3"/>
              <w:ind w:firstLine="315"/>
              <w:jc w:val="both"/>
            </w:pPr>
            <w:r>
              <w:rPr>
                <w:sz w:val="21"/>
              </w:rPr>
              <w:t>▲电源：≥6×3000W电源模块</w:t>
            </w:r>
          </w:p>
          <w:p>
            <w:pPr>
              <w:pStyle w:val="null3"/>
              <w:ind w:firstLine="315"/>
              <w:jc w:val="both"/>
            </w:pPr>
            <w:r>
              <w:rPr>
                <w:sz w:val="21"/>
              </w:rPr>
              <w:t>冗余机制：支持</w:t>
            </w:r>
            <w:r>
              <w:rPr>
                <w:sz w:val="21"/>
              </w:rPr>
              <w:t>N+1冗余，确保单电源故障时系统持续运行。</w:t>
            </w:r>
          </w:p>
          <w:p>
            <w:pPr>
              <w:pStyle w:val="null3"/>
              <w:ind w:firstLine="315"/>
              <w:jc w:val="both"/>
            </w:pPr>
            <w:r>
              <w:rPr>
                <w:sz w:val="21"/>
              </w:rPr>
              <w:t>6、管理与维护功能</w:t>
            </w:r>
          </w:p>
          <w:p>
            <w:pPr>
              <w:pStyle w:val="null3"/>
              <w:ind w:firstLine="315"/>
              <w:jc w:val="both"/>
            </w:pPr>
            <w:r>
              <w:rPr>
                <w:sz w:val="21"/>
              </w:rPr>
              <w:t>系统管理：支持通过</w:t>
            </w:r>
            <w:r>
              <w:rPr>
                <w:sz w:val="21"/>
              </w:rPr>
              <w:t>SSDP（简单服务发现协议）自动发现设备。提供多维度温度监控界面，实时展示CPU、GPU、内存、硬盘等关键部件温度。</w:t>
            </w:r>
          </w:p>
          <w:p>
            <w:pPr>
              <w:pStyle w:val="null3"/>
              <w:ind w:firstLine="315"/>
              <w:jc w:val="both"/>
            </w:pPr>
            <w:r>
              <w:rPr>
                <w:sz w:val="21"/>
              </w:rPr>
              <w:t>故障诊断：支持通过专用服务</w:t>
            </w:r>
            <w:r>
              <w:rPr>
                <w:sz w:val="21"/>
              </w:rPr>
              <w:t>U盘导出设备故障诊断日志。管理软件需兼容主流操作系统（Windows/Linux），提供无线管理功能。</w:t>
            </w:r>
          </w:p>
          <w:p>
            <w:pPr>
              <w:pStyle w:val="null3"/>
              <w:jc w:val="both"/>
              <w:outlineLvl w:val="3"/>
            </w:pPr>
            <w:r>
              <w:rPr>
                <w:sz w:val="24"/>
                <w:b/>
              </w:rPr>
              <w:t>四、设备安装与部署服务要求</w:t>
            </w:r>
          </w:p>
          <w:p>
            <w:pPr>
              <w:pStyle w:val="null3"/>
              <w:ind w:firstLine="315"/>
              <w:jc w:val="both"/>
            </w:pPr>
            <w:r>
              <w:rPr>
                <w:sz w:val="21"/>
              </w:rPr>
              <w:t>4.1 基础技术服务内容要求</w:t>
            </w:r>
          </w:p>
          <w:p>
            <w:pPr>
              <w:pStyle w:val="null3"/>
              <w:ind w:firstLine="315"/>
              <w:jc w:val="both"/>
            </w:pPr>
            <w:r>
              <w:rPr>
                <w:sz w:val="21"/>
              </w:rPr>
              <w:t>（</w:t>
            </w:r>
            <w:r>
              <w:rPr>
                <w:sz w:val="21"/>
              </w:rPr>
              <w:t>1）系统预装：按采购人实际需求提供Ubuntu/CentOS等操作系统 + Docker/Kubernetes环境部署。</w:t>
            </w:r>
          </w:p>
          <w:p>
            <w:pPr>
              <w:pStyle w:val="null3"/>
              <w:ind w:firstLine="315"/>
              <w:jc w:val="both"/>
            </w:pPr>
            <w:r>
              <w:rPr>
                <w:sz w:val="21"/>
              </w:rPr>
              <w:t>（</w:t>
            </w:r>
            <w:r>
              <w:rPr>
                <w:sz w:val="21"/>
              </w:rPr>
              <w:t>2）调度支持：按采购人实际需求提供Slurm/Kubeflow等作业调度工具集成。</w:t>
            </w:r>
          </w:p>
          <w:p>
            <w:pPr>
              <w:pStyle w:val="null3"/>
              <w:ind w:firstLine="315"/>
              <w:jc w:val="both"/>
            </w:pPr>
            <w:r>
              <w:rPr>
                <w:sz w:val="21"/>
              </w:rPr>
              <w:t>（</w:t>
            </w:r>
            <w:r>
              <w:rPr>
                <w:sz w:val="21"/>
              </w:rPr>
              <w:t>3）镜像仓库：按采购人实际需求提供预置主流深度学习框架（PyTorch/TensorFlow等）</w:t>
            </w:r>
          </w:p>
          <w:p>
            <w:pPr>
              <w:pStyle w:val="null3"/>
              <w:ind w:firstLine="315"/>
              <w:jc w:val="both"/>
            </w:pPr>
            <w:r>
              <w:rPr>
                <w:sz w:val="21"/>
              </w:rPr>
              <w:t>（</w:t>
            </w:r>
            <w:r>
              <w:rPr>
                <w:sz w:val="21"/>
              </w:rPr>
              <w:t>4）开源模型：按采购人实际需求提供DeepSeek模型部署。</w:t>
            </w:r>
          </w:p>
          <w:p>
            <w:pPr>
              <w:pStyle w:val="null3"/>
              <w:ind w:firstLine="315"/>
            </w:pPr>
            <w:r>
              <w:rPr>
                <w:sz w:val="21"/>
              </w:rPr>
              <w:t xml:space="preserve">4.2 </w:t>
            </w:r>
            <w:r>
              <w:rPr>
                <w:sz w:val="21"/>
              </w:rPr>
              <w:t>投标人</w:t>
            </w:r>
            <w:r>
              <w:rPr>
                <w:sz w:val="21"/>
              </w:rPr>
              <w:t>设置实施</w:t>
            </w:r>
            <w:r>
              <w:rPr>
                <w:sz w:val="21"/>
              </w:rPr>
              <w:t>项目经理。从项目开始到结束，项目经理在现场负责项目管理、协调、沟通等工作。</w:t>
            </w:r>
          </w:p>
          <w:p>
            <w:pPr>
              <w:pStyle w:val="null3"/>
              <w:ind w:firstLine="315"/>
            </w:pPr>
            <w:r>
              <w:rPr>
                <w:sz w:val="21"/>
              </w:rPr>
              <w:t>4.3 设备到货与安装</w:t>
            </w:r>
          </w:p>
          <w:p>
            <w:pPr>
              <w:pStyle w:val="null3"/>
              <w:ind w:firstLine="315"/>
            </w:pPr>
            <w:r>
              <w:rPr>
                <w:sz w:val="21"/>
              </w:rPr>
              <w:t>（</w:t>
            </w:r>
            <w:r>
              <w:rPr>
                <w:sz w:val="21"/>
              </w:rPr>
              <w:t>1）中</w:t>
            </w:r>
            <w:r>
              <w:rPr>
                <w:sz w:val="21"/>
              </w:rPr>
              <w:t>标人</w:t>
            </w:r>
            <w:r>
              <w:rPr>
                <w:sz w:val="21"/>
              </w:rPr>
              <w:t>向采购人提供所投标的产品的安装和调试服务。</w:t>
            </w:r>
          </w:p>
          <w:p>
            <w:pPr>
              <w:pStyle w:val="null3"/>
              <w:ind w:firstLine="315"/>
            </w:pPr>
            <w:r>
              <w:rPr>
                <w:sz w:val="21"/>
              </w:rPr>
              <w:t>（</w:t>
            </w:r>
            <w:r>
              <w:rPr>
                <w:sz w:val="21"/>
              </w:rPr>
              <w:t>2）</w:t>
            </w:r>
            <w:r>
              <w:rPr>
                <w:sz w:val="21"/>
              </w:rPr>
              <w:t>到货验收通过后，于本招标文件规定时间内完成合同产品的安装、调试等工作，并提供安装、调试过程中的各种文档资料。</w:t>
            </w:r>
          </w:p>
          <w:p>
            <w:pPr>
              <w:pStyle w:val="null3"/>
              <w:ind w:firstLine="315"/>
            </w:pPr>
            <w:r>
              <w:rPr>
                <w:sz w:val="21"/>
              </w:rPr>
              <w:t>（</w:t>
            </w:r>
            <w:r>
              <w:rPr>
                <w:sz w:val="21"/>
              </w:rPr>
              <w:t>3）</w:t>
            </w:r>
            <w:r>
              <w:rPr>
                <w:sz w:val="21"/>
              </w:rPr>
              <w:t>投标人现场勘察服务器安装所需电源、网线、光纤等跳线等线缆，</w:t>
            </w:r>
            <w:r>
              <w:rPr>
                <w:sz w:val="21"/>
              </w:rPr>
              <w:t>产品安装、部署必要的配套配件，由中标人</w:t>
            </w:r>
            <w:r>
              <w:rPr>
                <w:sz w:val="21"/>
              </w:rPr>
              <w:t>免费</w:t>
            </w:r>
            <w:r>
              <w:rPr>
                <w:sz w:val="21"/>
              </w:rPr>
              <w:t>提供，</w:t>
            </w:r>
            <w:r>
              <w:rPr>
                <w:sz w:val="21"/>
              </w:rPr>
              <w:t>并在服务周期内提供免费的质保服务。</w:t>
            </w:r>
          </w:p>
          <w:p>
            <w:pPr>
              <w:pStyle w:val="null3"/>
              <w:ind w:firstLine="315"/>
            </w:pPr>
            <w:r>
              <w:rPr>
                <w:sz w:val="21"/>
              </w:rPr>
              <w:t>（</w:t>
            </w:r>
            <w:r>
              <w:rPr>
                <w:sz w:val="21"/>
              </w:rPr>
              <w:t>4）中标人负责</w:t>
            </w:r>
            <w:r>
              <w:rPr>
                <w:sz w:val="21"/>
              </w:rPr>
              <w:t>修复在实施工作中发现的合同产品相关的故障和缺陷，确保系统稳定、可靠运行。</w:t>
            </w:r>
          </w:p>
          <w:p>
            <w:pPr>
              <w:pStyle w:val="null3"/>
              <w:ind w:firstLine="315"/>
            </w:pPr>
            <w:r>
              <w:rPr>
                <w:sz w:val="21"/>
              </w:rPr>
              <w:t>（</w:t>
            </w:r>
            <w:r>
              <w:rPr>
                <w:sz w:val="21"/>
              </w:rPr>
              <w:t>5）</w:t>
            </w:r>
            <w:r>
              <w:rPr>
                <w:sz w:val="21"/>
              </w:rPr>
              <w:t>投标人免费提供配件、软件、硬件的安装及设备初始化（含配合招标方完成相关监控工具接入等）服务工作</w:t>
            </w:r>
            <w:r>
              <w:rPr>
                <w:sz w:val="21"/>
              </w:rPr>
              <w:t>，</w:t>
            </w:r>
            <w:r>
              <w:rPr>
                <w:sz w:val="21"/>
              </w:rPr>
              <w:t>投标人负责完成设备上架服务（含上架所需的各类线缆、耗材和标签）。</w:t>
            </w:r>
          </w:p>
          <w:p>
            <w:pPr>
              <w:pStyle w:val="null3"/>
              <w:ind w:firstLine="315"/>
            </w:pPr>
            <w:r>
              <w:rPr>
                <w:sz w:val="21"/>
              </w:rPr>
              <w:t>（</w:t>
            </w:r>
            <w:r>
              <w:rPr>
                <w:sz w:val="21"/>
              </w:rPr>
              <w:t>6）</w:t>
            </w:r>
            <w:r>
              <w:rPr>
                <w:sz w:val="21"/>
              </w:rPr>
              <w:t>按照采购人相关标准开展软硬件的信息安全加固，如</w:t>
            </w:r>
            <w:r>
              <w:rPr>
                <w:sz w:val="21"/>
              </w:rPr>
              <w:t>BIOS升级、固件更新等。</w:t>
            </w:r>
          </w:p>
          <w:p>
            <w:pPr>
              <w:pStyle w:val="null3"/>
              <w:ind w:firstLine="315"/>
            </w:pPr>
            <w:r>
              <w:rPr>
                <w:sz w:val="21"/>
              </w:rPr>
              <w:t>（</w:t>
            </w:r>
            <w:r>
              <w:rPr>
                <w:sz w:val="21"/>
              </w:rPr>
              <w:t>7）</w:t>
            </w:r>
            <w:r>
              <w:rPr>
                <w:sz w:val="21"/>
              </w:rPr>
              <w:t>其余要求由签订</w:t>
            </w:r>
            <w:r>
              <w:rPr>
                <w:sz w:val="21"/>
              </w:rPr>
              <w:t>合同</w:t>
            </w:r>
            <w:r>
              <w:rPr>
                <w:sz w:val="21"/>
              </w:rPr>
              <w:t>的双方协商确定。</w:t>
            </w:r>
          </w:p>
          <w:p>
            <w:pPr>
              <w:pStyle w:val="null3"/>
              <w:ind w:firstLine="315"/>
            </w:pPr>
            <w:r>
              <w:rPr>
                <w:sz w:val="21"/>
              </w:rPr>
              <w:t>4.4</w:t>
            </w:r>
            <w:r>
              <w:rPr>
                <w:sz w:val="21"/>
              </w:rPr>
              <w:t>测试</w:t>
            </w:r>
          </w:p>
          <w:p>
            <w:pPr>
              <w:pStyle w:val="null3"/>
              <w:ind w:firstLine="315"/>
            </w:pPr>
            <w:r>
              <w:rPr>
                <w:sz w:val="21"/>
              </w:rPr>
              <w:t>（</w:t>
            </w:r>
            <w:r>
              <w:rPr>
                <w:sz w:val="21"/>
              </w:rPr>
              <w:t>1）</w:t>
            </w:r>
            <w:r>
              <w:rPr>
                <w:sz w:val="21"/>
              </w:rPr>
              <w:t>在整体软硬件平台的联通、联调工作完成后，协助采购人进行测试。</w:t>
            </w:r>
          </w:p>
          <w:p>
            <w:pPr>
              <w:pStyle w:val="null3"/>
              <w:ind w:firstLine="315"/>
            </w:pPr>
            <w:r>
              <w:rPr>
                <w:sz w:val="21"/>
              </w:rPr>
              <w:t>（</w:t>
            </w:r>
            <w:r>
              <w:rPr>
                <w:sz w:val="21"/>
              </w:rPr>
              <w:t>2）</w:t>
            </w:r>
            <w:r>
              <w:rPr>
                <w:sz w:val="21"/>
              </w:rPr>
              <w:t>如果在测试中发现合同产品相关问题，中标人对其缺陷或缺点进行修正，然后重新测试直至合格为止。</w:t>
            </w:r>
          </w:p>
          <w:p>
            <w:pPr>
              <w:pStyle w:val="null3"/>
              <w:ind w:firstLine="315"/>
            </w:pPr>
            <w:r>
              <w:rPr>
                <w:sz w:val="21"/>
              </w:rPr>
              <w:t>（</w:t>
            </w:r>
            <w:r>
              <w:rPr>
                <w:sz w:val="21"/>
              </w:rPr>
              <w:t>3）</w:t>
            </w:r>
            <w:r>
              <w:rPr>
                <w:sz w:val="21"/>
              </w:rPr>
              <w:t>根据项目情况详细约定。</w:t>
            </w:r>
          </w:p>
          <w:p>
            <w:pPr>
              <w:pStyle w:val="null3"/>
              <w:jc w:val="both"/>
              <w:outlineLvl w:val="3"/>
            </w:pPr>
            <w:r>
              <w:rPr>
                <w:sz w:val="24"/>
                <w:b/>
              </w:rPr>
              <w:t>五、运维服务要求</w:t>
            </w:r>
          </w:p>
          <w:p>
            <w:pPr>
              <w:pStyle w:val="null3"/>
              <w:ind w:firstLine="315"/>
              <w:jc w:val="both"/>
            </w:pPr>
            <w:r>
              <w:rPr>
                <w:sz w:val="21"/>
              </w:rPr>
              <w:t>1、投标人确保设备租赁期内，配套的运维服务的保障，维保服务期：3年，非人为损坏出现的设备严重故障，免费更换时间：7天。</w:t>
            </w:r>
          </w:p>
          <w:p>
            <w:pPr>
              <w:pStyle w:val="null3"/>
              <w:ind w:firstLine="315"/>
              <w:jc w:val="both"/>
            </w:pPr>
            <w:r>
              <w:rPr>
                <w:sz w:val="21"/>
              </w:rPr>
              <w:t>2、投标人确保所租赁设备的可用性，可用性：全年服务可用性≥99.9%（不可抗力除外）；</w:t>
            </w:r>
          </w:p>
          <w:p>
            <w:pPr>
              <w:pStyle w:val="null3"/>
              <w:ind w:firstLine="315"/>
              <w:jc w:val="both"/>
            </w:pPr>
            <w:r>
              <w:rPr>
                <w:sz w:val="21"/>
              </w:rPr>
              <w:t>3、其它运维服务要求：投标人需要提供配套的定期系统运维服务。</w:t>
            </w:r>
          </w:p>
          <w:p>
            <w:pPr>
              <w:pStyle w:val="null3"/>
              <w:ind w:firstLine="315"/>
              <w:jc w:val="both"/>
            </w:pPr>
            <w:r>
              <w:rPr>
                <w:sz w:val="21"/>
              </w:rPr>
              <w:t>4、中标人完成服务期内的正常维护及故障处理，采购人提出故障后3小时内到达现场，6小时内排除故障，若6小时内无法排除故障，中标人须提供新的替代设备，保障服务连续性。</w:t>
            </w:r>
          </w:p>
          <w:p>
            <w:pPr>
              <w:pStyle w:val="null3"/>
              <w:jc w:val="both"/>
              <w:outlineLvl w:val="3"/>
            </w:pPr>
            <w:r>
              <w:rPr>
                <w:sz w:val="24"/>
                <w:b/>
              </w:rPr>
              <w:t>六、供货与进度</w:t>
            </w:r>
          </w:p>
          <w:p>
            <w:pPr>
              <w:pStyle w:val="null3"/>
              <w:ind w:firstLine="315"/>
              <w:jc w:val="left"/>
            </w:pPr>
            <w:r>
              <w:rPr>
                <w:sz w:val="21"/>
              </w:rPr>
              <w:t>投标人</w:t>
            </w:r>
            <w:r>
              <w:rPr>
                <w:sz w:val="21"/>
              </w:rPr>
              <w:t>响应并承诺下列交</w:t>
            </w:r>
            <w:r>
              <w:rPr>
                <w:sz w:val="21"/>
              </w:rPr>
              <w:t>付</w:t>
            </w:r>
            <w:r>
              <w:rPr>
                <w:sz w:val="21"/>
              </w:rPr>
              <w:t>时间要求</w:t>
            </w:r>
            <w:r>
              <w:rPr>
                <w:sz w:val="21"/>
              </w:rPr>
              <w:t>：</w:t>
            </w:r>
            <w:r>
              <w:rPr>
                <w:sz w:val="21"/>
              </w:rPr>
              <w:t>产品在合同生效后</w:t>
            </w:r>
            <w:r>
              <w:rPr>
                <w:sz w:val="21"/>
              </w:rPr>
              <w:t>10</w:t>
            </w:r>
            <w:r>
              <w:rPr>
                <w:sz w:val="21"/>
              </w:rPr>
              <w:t>天内</w:t>
            </w:r>
            <w:r>
              <w:rPr>
                <w:sz w:val="21"/>
              </w:rPr>
              <w:t>完成到货，</w:t>
            </w:r>
            <w:r>
              <w:rPr>
                <w:sz w:val="21"/>
              </w:rPr>
              <w:t>5天内</w:t>
            </w:r>
            <w:r>
              <w:rPr>
                <w:sz w:val="21"/>
              </w:rPr>
              <w:t>设备安装调试初步验收完成</w:t>
            </w:r>
            <w:r>
              <w:rPr>
                <w:sz w:val="21"/>
              </w:rPr>
              <w:t>。</w:t>
            </w:r>
          </w:p>
          <w:p>
            <w:pPr>
              <w:pStyle w:val="null3"/>
              <w:jc w:val="both"/>
              <w:outlineLvl w:val="3"/>
            </w:pPr>
            <w:r>
              <w:rPr>
                <w:sz w:val="24"/>
                <w:b/>
              </w:rPr>
              <w:t>七、数据安全要求</w:t>
            </w:r>
          </w:p>
          <w:p>
            <w:pPr>
              <w:pStyle w:val="null3"/>
              <w:ind w:firstLine="420"/>
              <w:jc w:val="both"/>
            </w:pPr>
            <w:r>
              <w:rPr>
                <w:sz w:val="21"/>
              </w:rPr>
              <w:t>要求中标人依据《数据安全法》《网络安全法》及工信部</w:t>
            </w:r>
            <w:r>
              <w:rPr>
                <w:sz w:val="21"/>
              </w:rPr>
              <w:t>IDC</w:t>
            </w:r>
            <w:r>
              <w:rPr>
                <w:sz w:val="21"/>
              </w:rPr>
              <w:t>数据安全保护规范（工信厅网安〔</w:t>
            </w:r>
            <w:r>
              <w:rPr>
                <w:sz w:val="21"/>
              </w:rPr>
              <w:t>2025</w:t>
            </w:r>
            <w:r>
              <w:rPr>
                <w:sz w:val="21"/>
              </w:rPr>
              <w:t>〕</w:t>
            </w:r>
            <w:r>
              <w:rPr>
                <w:sz w:val="21"/>
              </w:rPr>
              <w:t>5</w:t>
            </w:r>
            <w:r>
              <w:rPr>
                <w:sz w:val="21"/>
              </w:rPr>
              <w:t>号）制定，需在服务全生命周期落实相关政策要求。</w:t>
            </w:r>
          </w:p>
        </w:tc>
      </w:tr>
      <w:tr>
        <w:tc>
          <w:tcPr>
            <w:tcW w:type="dxa" w:w="2076"/>
          </w:tcPr>
          <w:p/>
        </w:tc>
        <w:tc>
          <w:tcPr>
            <w:tcW w:type="dxa" w:w="415"/>
          </w:tcPr>
          <w:p>
            <w:pPr>
              <w:pStyle w:val="null3"/>
            </w:pPr>
            <w:r>
              <w:rPr/>
              <w:t>2</w:t>
            </w:r>
          </w:p>
        </w:tc>
        <w:tc>
          <w:tcPr>
            <w:tcW w:type="dxa" w:w="5814"/>
          </w:tcPr>
          <w:p>
            <w:pPr>
              <w:pStyle w:val="null3"/>
              <w:jc w:val="both"/>
              <w:outlineLvl w:val="3"/>
            </w:pPr>
            <w:r>
              <w:rPr>
                <w:sz w:val="24"/>
                <w:b/>
              </w:rPr>
              <w:t>八、其他要求</w:t>
            </w:r>
          </w:p>
          <w:p>
            <w:pPr>
              <w:pStyle w:val="null3"/>
              <w:jc w:val="both"/>
            </w:pPr>
            <w:r>
              <w:rPr>
                <w:sz w:val="21"/>
              </w:rPr>
              <w:t>投标人应根据项目需求，在投标文件中提供切实可行的对招标文件基础技术服务内容的响应、对项目的了解与规划、技术方案、运维服务方案、应急预案等。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东莞滨海湾新区管理委员会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 xml:space="preserve">（2）非加密电子版文件 U 盘(或光盘) </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人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滨海湾新区算力资源租赁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采购包1（东莞滨海湾新区算力资源租赁服务项目）：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采购包1（东莞滨海湾新区算力资源租赁服务项目）：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w:t>
            </w:r>
          </w:p>
        </w:tc>
      </w:tr>
    </w:tbl>
    <w:p>
      <w:pPr>
        <w:pStyle w:val="null3"/>
        <w:ind w:firstLine="480"/>
      </w:pPr>
      <w:r>
        <w:rPr/>
        <w:t>表二符合性审查表：</w:t>
      </w:r>
    </w:p>
    <w:p>
      <w:pPr>
        <w:pStyle w:val="null3"/>
      </w:pPr>
      <w:r>
        <w:rPr/>
        <w:t>采购包1（东莞滨海湾新区算力资源租赁服务项目）：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采购包1(东莞滨海湾新区算力资源租赁服务项目):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对招标文件硬件配置的响应 (10.0分)</w:t>
            </w:r>
          </w:p>
        </w:tc>
        <w:tc>
          <w:tcPr>
            <w:tcW w:type="dxa" w:w="5076"/>
          </w:tcPr>
          <w:p>
            <w:pPr>
              <w:pStyle w:val="null3"/>
              <w:jc w:val="left"/>
            </w:pPr>
            <w:r>
              <w:rPr/>
              <w:t>根据各投标人对用户需求技术参数响应情况进行评审，全部满足或优于得10分，其中带“▲”号技术参数每有一项负偏离或无响应的扣1分，扣完为止。 注： ①用户需求书要求提供证明资料的，则投标文件中须提供对应产品参数的证明资料。 ②用户需求书未要求提供证明资料的，投标人可通过承诺函方式提供证明资料。</w:t>
            </w:r>
          </w:p>
        </w:tc>
      </w:tr>
      <w:tr>
        <w:tc>
          <w:tcPr>
            <w:tcW w:type="dxa" w:w="922"/>
            <w:gridSpan w:val="2"/>
            <w:vMerge/>
          </w:tcPr>
          <w:p/>
        </w:tc>
        <w:tc>
          <w:tcPr>
            <w:tcW w:type="dxa" w:w="2307"/>
          </w:tcPr>
          <w:p>
            <w:pPr>
              <w:pStyle w:val="null3"/>
              <w:jc w:val="left"/>
            </w:pPr>
            <w:r>
              <w:rPr/>
              <w:t>对招标文件基础技术服务内容的响应 (10.0分)</w:t>
            </w:r>
          </w:p>
        </w:tc>
        <w:tc>
          <w:tcPr>
            <w:tcW w:type="dxa" w:w="5076"/>
          </w:tcPr>
          <w:p>
            <w:pPr>
              <w:pStyle w:val="null3"/>
              <w:jc w:val="left"/>
            </w:pPr>
            <w:r>
              <w:rPr/>
              <w:t>根据投标人提供的基础技术服务内容（包括系统预装、调度支持、镜像仓库和开源模型）的响应情况进行评审： （1）技术服务内容响应全面、结构清晰，具体措施细致，能完全满足招标文件中各项服务要求，并针对各服务环节均提出具体实施方案、工作计划和保障机制，得10分； （2）技术服务内容响应较为完整，覆盖主要服务要求，服务过程有清晰的安排及保障措施，部分细节存在简略之处，得7分； （3）技术服务响应基本满足服务要求，但部分核心内容响应较弱，未形成完整实施方案，得4分； （4）技术服务内容不具体、未涵盖核心服务环节或与招标需求偏离较大，得1分； （5）未提供技术服务响应内容，不得分。</w:t>
            </w:r>
          </w:p>
        </w:tc>
      </w:tr>
      <w:tr>
        <w:tc>
          <w:tcPr>
            <w:tcW w:type="dxa" w:w="922"/>
            <w:gridSpan w:val="2"/>
            <w:vMerge/>
          </w:tcPr>
          <w:p/>
        </w:tc>
        <w:tc>
          <w:tcPr>
            <w:tcW w:type="dxa" w:w="2307"/>
          </w:tcPr>
          <w:p>
            <w:pPr>
              <w:pStyle w:val="null3"/>
              <w:jc w:val="left"/>
            </w:pPr>
            <w:r>
              <w:rPr/>
              <w:t>对项目的了解与规划 (7.0分)</w:t>
            </w:r>
          </w:p>
        </w:tc>
        <w:tc>
          <w:tcPr>
            <w:tcW w:type="dxa" w:w="5076"/>
          </w:tcPr>
          <w:p>
            <w:pPr>
              <w:pStyle w:val="null3"/>
              <w:jc w:val="left"/>
            </w:pPr>
            <w:r>
              <w:rPr/>
              <w:t>根据投标人提供的对项目的了解与规划（包括但不限于对项目现状和建设需求的了解程度、大模型服务的整体服务设想及规划等）进行综合评审：  （1）对项目现状和建设需求的了解程度透彻清晰，对算力服务和大模型服务的整体服务设想及规划细致，得7分；  （2）对项目现状和建设需求的了解程度较好，算力服务和大模型服务的整体服务设想及规划较细致，得4分；  （3）对项目现状和建设需求的了解程度一般，算力服务和大模型服务的整体服务设想及规划一般，得2分；  （4）对项目现状和建设需求的了解程度不清晰，算力服务和大模型服务的整体服务设想及规划较差，得1分；  未提供对应方案的不得分。</w:t>
            </w:r>
          </w:p>
        </w:tc>
      </w:tr>
      <w:tr>
        <w:tc>
          <w:tcPr>
            <w:tcW w:type="dxa" w:w="922"/>
            <w:gridSpan w:val="2"/>
            <w:vMerge/>
          </w:tcPr>
          <w:p/>
        </w:tc>
        <w:tc>
          <w:tcPr>
            <w:tcW w:type="dxa" w:w="2307"/>
          </w:tcPr>
          <w:p>
            <w:pPr>
              <w:pStyle w:val="null3"/>
              <w:jc w:val="left"/>
            </w:pPr>
            <w:r>
              <w:rPr/>
              <w:t>技术方案 (10.0分)</w:t>
            </w:r>
          </w:p>
        </w:tc>
        <w:tc>
          <w:tcPr>
            <w:tcW w:type="dxa" w:w="5076"/>
          </w:tcPr>
          <w:p>
            <w:pPr>
              <w:pStyle w:val="null3"/>
              <w:jc w:val="left"/>
            </w:pPr>
            <w:r>
              <w:rPr/>
              <w:t>根据投标人提供的技术方案（包括但不限于对GPU算力设备的资源管理、网络互联、安全保障、运行环境、调度与扩展能力、系统可用设计等）进行综合评审： （1）整体技术方案详尽、结构清晰，能全面覆盖本项目算力服务和大模型服务的需求，部署架构合理，具备完善的管理、调度、扩展和安全机制，得10分； （2）技术方案较为完整，覆盖大部分需求，设计基本合理，具备一定的资源调度和安全保障措施，得7分； （3）技术方案覆盖部分核心需求，设计一般，存在不足，得4分； （4）技术方案不具体，内容缺失较多，得1分； （5）未提供技术方案的不得分。</w:t>
            </w:r>
          </w:p>
        </w:tc>
      </w:tr>
      <w:tr>
        <w:tc>
          <w:tcPr>
            <w:tcW w:type="dxa" w:w="922"/>
            <w:gridSpan w:val="2"/>
            <w:vMerge/>
          </w:tcPr>
          <w:p/>
        </w:tc>
        <w:tc>
          <w:tcPr>
            <w:tcW w:type="dxa" w:w="2307"/>
          </w:tcPr>
          <w:p>
            <w:pPr>
              <w:pStyle w:val="null3"/>
              <w:jc w:val="left"/>
            </w:pPr>
            <w:r>
              <w:rPr/>
              <w:t>运维服务方案 (7.0分)</w:t>
            </w:r>
          </w:p>
        </w:tc>
        <w:tc>
          <w:tcPr>
            <w:tcW w:type="dxa" w:w="5076"/>
          </w:tcPr>
          <w:p>
            <w:pPr>
              <w:pStyle w:val="null3"/>
              <w:jc w:val="left"/>
            </w:pPr>
            <w:r>
              <w:rPr/>
              <w:t>根据投标人提供的运维服务方案（包括但不限于算力设备的运维服务计划、服务保障措施，服务体系的完备程度，维护响应能力等）进行综合评审： （1）运维服务内容十分详细，覆盖设备交付、系统优化、资源监控、应急处理、定期巡检等，服务体系完备清晰，配备专属服务团队，响应快速，得7分； （2）运维服务内容较详细，涵盖主要服务环节，服务体系较完备，响应机制合理，得5分； （3）运维服务内容基本完整，服务体系结构一般，响应机制存在不足，得3分； （4）运维服务内容不具体，服务体系较差，响应机制不清晰，得1分； （5）未提供对应方案的不得分。</w:t>
            </w:r>
          </w:p>
        </w:tc>
      </w:tr>
      <w:tr>
        <w:tc>
          <w:tcPr>
            <w:tcW w:type="dxa" w:w="922"/>
            <w:gridSpan w:val="2"/>
            <w:vMerge/>
          </w:tcPr>
          <w:p/>
        </w:tc>
        <w:tc>
          <w:tcPr>
            <w:tcW w:type="dxa" w:w="2307"/>
          </w:tcPr>
          <w:p>
            <w:pPr>
              <w:pStyle w:val="null3"/>
              <w:jc w:val="left"/>
            </w:pPr>
            <w:r>
              <w:rPr/>
              <w:t>应急预案 (6.0分)</w:t>
            </w:r>
          </w:p>
        </w:tc>
        <w:tc>
          <w:tcPr>
            <w:tcW w:type="dxa" w:w="5076"/>
          </w:tcPr>
          <w:p>
            <w:pPr>
              <w:pStyle w:val="null3"/>
              <w:jc w:val="left"/>
            </w:pPr>
            <w:r>
              <w:rPr/>
              <w:t>根据投标人提供的应急处置方案（包括但不限于应急故障处理方案，故障响应时间，维护承诺等）进行综合评审： （1）应急处置方案非常具体完善，有成熟的应急处置机制、人员安排计划周全、故障响应时间非常短、现场解决能力非常强，运作机制非常完善、合理，可行性非常强的，得6分； （2）应急处置方案具体详细，有完善的应急处置机制、人员安排计划可行、故障响应时间合理，现场解决能力强，运作机制较完善、合理，可行性较强的，得4分； （3）应急处置方案较具体，有基础应急处置机制、人员安排计划可行，故障响应时间尚可、现场解决能力较强，运作机制基本合理，得2分； （4）应急处置方案不具体，基本没有应急处置机制、人员安排计划不可行，故障响应时间长、现场解决能力较差，运作机制不合理，得1分； （5）未提供对应方案不得分。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(4.0分)</w:t>
            </w:r>
          </w:p>
        </w:tc>
        <w:tc>
          <w:tcPr>
            <w:tcW w:type="dxa" w:w="5076"/>
          </w:tcPr>
          <w:p>
            <w:pPr>
              <w:pStyle w:val="null3"/>
              <w:jc w:val="left"/>
            </w:pPr>
            <w:r>
              <w:rPr/>
              <w:t>投标人具有由国家认证认可监督管理部门批准设立的认证机构颁发并在有效期内的证书进行评审： ①具有质量管理体系认证证书的得2分，本项最高得2分； ②具有大数据安全管理体系认证证书的得2分，本项最高得2分。 注：须提供有效证书复印件加盖投标人公章，否则不得分。</w:t>
            </w:r>
          </w:p>
        </w:tc>
      </w:tr>
      <w:tr>
        <w:tc>
          <w:tcPr>
            <w:tcW w:type="dxa" w:w="922"/>
            <w:gridSpan w:val="2"/>
            <w:vMerge/>
          </w:tcPr>
          <w:p/>
        </w:tc>
        <w:tc>
          <w:tcPr>
            <w:tcW w:type="dxa" w:w="2307"/>
          </w:tcPr>
          <w:p>
            <w:pPr>
              <w:pStyle w:val="null3"/>
              <w:jc w:val="left"/>
            </w:pPr>
            <w:r>
              <w:rPr/>
              <w:t>拟投入项目经理 (8.0分)</w:t>
            </w:r>
          </w:p>
        </w:tc>
        <w:tc>
          <w:tcPr>
            <w:tcW w:type="dxa" w:w="5076"/>
          </w:tcPr>
          <w:p>
            <w:pPr>
              <w:pStyle w:val="null3"/>
              <w:jc w:val="left"/>
            </w:pPr>
            <w:r>
              <w:rPr/>
              <w:t>对投标人拟投入本项目的项目经理（仅一人）进行评审： 1.具有系统规划与管理师证书； 2.具有信息系统项目管理师证书； 3.具有智能化系统工程师证书； 4.具有人工智能应用工程师证书； 以上证书每提供一类得2分，未提供不得分，本项累计最高得8分。 注：须提供项目经理证书复印件及投标截止日前6个月内任意一个月(含开标当月)的社保证明材料复印件并加盖投标人公章，社保缴纳单位名称需与投标人名称一致，否则不得分。</w:t>
            </w:r>
          </w:p>
        </w:tc>
      </w:tr>
      <w:tr>
        <w:tc>
          <w:tcPr>
            <w:tcW w:type="dxa" w:w="922"/>
            <w:gridSpan w:val="2"/>
            <w:vMerge/>
          </w:tcPr>
          <w:p/>
        </w:tc>
        <w:tc>
          <w:tcPr>
            <w:tcW w:type="dxa" w:w="2307"/>
          </w:tcPr>
          <w:p>
            <w:pPr>
              <w:pStyle w:val="null3"/>
              <w:jc w:val="left"/>
            </w:pPr>
            <w:r>
              <w:rPr/>
              <w:t>拟投入项目技术负责人 (8.0分)</w:t>
            </w:r>
          </w:p>
        </w:tc>
        <w:tc>
          <w:tcPr>
            <w:tcW w:type="dxa" w:w="5076"/>
          </w:tcPr>
          <w:p>
            <w:pPr>
              <w:pStyle w:val="null3"/>
              <w:jc w:val="left"/>
            </w:pPr>
            <w:r>
              <w:rPr/>
              <w:t>对投标人拟投入本项目的技术负责人（仅一人）进行评审： 1.具有系统分析师证书； 2.具有信息系统项目管理师证书； 3.具有系统架构设计师证书； 4.具有通信专业工程师证书； 以上证书每提供一类得2分，未提供不得分，本项累计最高得8分。 注：须提供技术负责人证书复印件及投标截止日前6个月内任意一个月(含开标当月)的社保证明材料复印件并加盖投标人公章，社保缴纳单位名称需与投标人名称一致，否则不得分。</w:t>
            </w:r>
          </w:p>
        </w:tc>
      </w:tr>
      <w:tr>
        <w:tc>
          <w:tcPr>
            <w:tcW w:type="dxa" w:w="922"/>
            <w:gridSpan w:val="2"/>
            <w:vMerge/>
          </w:tcPr>
          <w:p/>
        </w:tc>
        <w:tc>
          <w:tcPr>
            <w:tcW w:type="dxa" w:w="2307"/>
          </w:tcPr>
          <w:p>
            <w:pPr>
              <w:pStyle w:val="null3"/>
              <w:jc w:val="left"/>
            </w:pPr>
            <w:r>
              <w:rPr/>
              <w:t>拟投入专业技术人员 (6.0分)</w:t>
            </w:r>
          </w:p>
        </w:tc>
        <w:tc>
          <w:tcPr>
            <w:tcW w:type="dxa" w:w="5076"/>
          </w:tcPr>
          <w:p>
            <w:pPr>
              <w:pStyle w:val="null3"/>
              <w:jc w:val="left"/>
            </w:pPr>
            <w:r>
              <w:rPr/>
              <w:t>对投标人拟投入本项目的专业技术人员（项目经理及技术负责人除外）进行评审： 1.具有高级工程师证书(通信类或网络类或电子类或软件类)得2分，中级工程师证书(通信类或网络类或电子类或软件类)得1分，本项最高得2分； 2.具有信息系统项目管理师证书得2分，本项最高得2分； 3.具有系统架构设计师证书，得2分，本项最高得2分。 注：以上同一人员拥有多项证书不重复得分，须提供专业技术人员证书复印件及投标截止日前6个月内任意一个月(含开标当月)的社保证明材料复印件并加盖投标人公章，社保缴纳单位名称需与投标人名称一致，否则不得分。</w:t>
            </w:r>
          </w:p>
        </w:tc>
      </w:tr>
      <w:tr>
        <w:tc>
          <w:tcPr>
            <w:tcW w:type="dxa" w:w="922"/>
            <w:gridSpan w:val="2"/>
            <w:vMerge/>
          </w:tcPr>
          <w:p/>
        </w:tc>
        <w:tc>
          <w:tcPr>
            <w:tcW w:type="dxa" w:w="2307"/>
          </w:tcPr>
          <w:p>
            <w:pPr>
              <w:pStyle w:val="null3"/>
              <w:jc w:val="left"/>
            </w:pPr>
            <w:r>
              <w:rPr/>
              <w:t>项目业绩 (4.0分)</w:t>
            </w:r>
          </w:p>
        </w:tc>
        <w:tc>
          <w:tcPr>
            <w:tcW w:type="dxa" w:w="5076"/>
          </w:tcPr>
          <w:p>
            <w:pPr>
              <w:pStyle w:val="null3"/>
              <w:jc w:val="left"/>
            </w:pPr>
            <w:r>
              <w:rPr/>
              <w:t>投标人具有承接算力类项目业绩，每提供一个得1分，本项最高得4分。 注：须提供合同复印件加盖投标人公章，否则不得分。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合同编号：</w:t>
      </w:r>
      <w:r>
        <w:rPr>
          <w:sz w:val="21"/>
        </w:rPr>
        <w:t>【</w:t>
      </w:r>
      <w:r>
        <w:rPr>
          <w:sz w:val="21"/>
        </w:rPr>
        <w:t xml:space="preserve">  </w:t>
      </w:r>
      <w:r>
        <w:rPr>
          <w:sz w:val="21"/>
        </w:rPr>
        <w:t>】</w:t>
      </w:r>
    </w:p>
    <w:p>
      <w:pPr>
        <w:pStyle w:val="null3"/>
        <w:jc w:val="center"/>
      </w:pPr>
      <w:r>
        <w:rPr>
          <w:sz w:val="44"/>
          <w:b/>
        </w:rPr>
        <w:t>东莞滨海湾新区算力资源租赁服务项目</w:t>
      </w:r>
    </w:p>
    <w:p>
      <w:pPr>
        <w:pStyle w:val="null3"/>
        <w:ind w:left="2520"/>
        <w:jc w:val="center"/>
      </w:pPr>
      <w:r>
        <w:rPr>
          <w:sz w:val="84"/>
          <w:b/>
        </w:rPr>
        <w:t>合</w:t>
      </w:r>
    </w:p>
    <w:p>
      <w:pPr>
        <w:pStyle w:val="null3"/>
        <w:ind w:left="2520"/>
        <w:jc w:val="center"/>
      </w:pPr>
      <w:r>
        <w:rPr>
          <w:sz w:val="84"/>
          <w:b/>
        </w:rPr>
        <w:t>同</w:t>
      </w:r>
    </w:p>
    <w:p>
      <w:pPr>
        <w:pStyle w:val="null3"/>
        <w:ind w:left="2160"/>
        <w:jc w:val="center"/>
      </w:pPr>
      <w:r>
        <w:rPr>
          <w:sz w:val="30"/>
        </w:rPr>
        <w:t>甲方：</w:t>
      </w:r>
    </w:p>
    <w:p>
      <w:pPr>
        <w:pStyle w:val="null3"/>
        <w:jc w:val="left"/>
      </w:pPr>
      <w:r>
        <w:rPr>
          <w:sz w:val="30"/>
        </w:rPr>
        <w:t>乙方：</w:t>
      </w:r>
    </w:p>
    <w:p>
      <w:pPr>
        <w:pStyle w:val="null3"/>
        <w:jc w:val="left"/>
      </w:pPr>
      <w:r>
        <w:rPr>
          <w:sz w:val="30"/>
        </w:rPr>
        <w:t>签署日期：</w:t>
      </w:r>
      <w:r>
        <w:rPr>
          <w:sz w:val="21"/>
        </w:rPr>
        <w:t xml:space="preserve">    </w:t>
      </w:r>
      <w:r>
        <w:rPr>
          <w:sz w:val="30"/>
        </w:rPr>
        <w:t>年</w:t>
      </w:r>
      <w:r>
        <w:rPr>
          <w:sz w:val="21"/>
        </w:rPr>
        <w:t xml:space="preserve">    </w:t>
      </w:r>
      <w:r>
        <w:rPr>
          <w:sz w:val="30"/>
        </w:rPr>
        <w:t>月</w:t>
      </w:r>
      <w:r>
        <w:rPr>
          <w:sz w:val="30"/>
        </w:rPr>
        <w:t xml:space="preserve">     </w:t>
      </w:r>
      <w:r>
        <w:rPr>
          <w:sz w:val="30"/>
        </w:rPr>
        <w:t>日</w:t>
      </w:r>
    </w:p>
    <w:p>
      <w:pPr>
        <w:pStyle w:val="null3"/>
        <w:jc w:val="left"/>
      </w:pPr>
      <w:r>
        <w:rPr>
          <w:sz w:val="30"/>
        </w:rPr>
        <w:t>签约地点：</w:t>
      </w:r>
    </w:p>
    <w:p>
      <w:pPr>
        <w:pStyle w:val="null3"/>
        <w:jc w:val="left"/>
      </w:pPr>
      <w:r>
        <w:rPr>
          <w:sz w:val="28"/>
          <w:b/>
        </w:rPr>
        <w:t>东莞滨海湾新区算力资源租赁服务项目</w:t>
      </w:r>
      <w:r>
        <w:rPr>
          <w:sz w:val="28"/>
          <w:b/>
        </w:rPr>
        <w:t>合同</w:t>
      </w:r>
    </w:p>
    <w:p>
      <w:pPr>
        <w:pStyle w:val="null3"/>
        <w:ind w:firstLine="480"/>
        <w:jc w:val="both"/>
      </w:pPr>
      <w:r>
        <w:rPr>
          <w:sz w:val="21"/>
        </w:rPr>
        <w:t>甲方：</w:t>
      </w:r>
    </w:p>
    <w:p>
      <w:pPr>
        <w:pStyle w:val="null3"/>
        <w:ind w:firstLine="420"/>
        <w:jc w:val="both"/>
      </w:pPr>
      <w:r>
        <w:rPr>
          <w:sz w:val="21"/>
        </w:rPr>
        <w:t>统一社会信用代码</w:t>
      </w:r>
      <w:r>
        <w:rPr>
          <w:sz w:val="21"/>
        </w:rPr>
        <w:t>/注册号：</w:t>
      </w:r>
    </w:p>
    <w:p>
      <w:pPr>
        <w:pStyle w:val="null3"/>
        <w:ind w:firstLine="420"/>
        <w:jc w:val="both"/>
      </w:pPr>
      <w:r>
        <w:rPr>
          <w:sz w:val="21"/>
        </w:rPr>
        <w:t>乙方：</w:t>
      </w:r>
    </w:p>
    <w:p>
      <w:pPr>
        <w:pStyle w:val="null3"/>
        <w:ind w:firstLine="420"/>
        <w:jc w:val="both"/>
      </w:pPr>
      <w:r>
        <w:rPr>
          <w:sz w:val="21"/>
        </w:rPr>
        <w:t>统一社会信用代码</w:t>
      </w:r>
      <w:r>
        <w:rPr>
          <w:sz w:val="21"/>
        </w:rPr>
        <w:t>/注册号：</w:t>
      </w:r>
    </w:p>
    <w:p>
      <w:pPr>
        <w:pStyle w:val="null3"/>
        <w:jc w:val="both"/>
      </w:pPr>
      <w:r>
        <w:rPr>
          <w:sz w:val="21"/>
        </w:rPr>
        <w:t>受甲方委托，</w:t>
      </w:r>
      <w:r>
        <w:rPr>
          <w:sz w:val="21"/>
        </w:rPr>
        <w:t>广东政通招标有限公司</w:t>
      </w:r>
      <w:r>
        <w:rPr>
          <w:sz w:val="21"/>
        </w:rPr>
        <w:t>组织对</w:t>
      </w:r>
      <w:r>
        <w:rPr>
          <w:sz w:val="21"/>
        </w:rPr>
        <w:t>东莞滨海湾新区算力资源租赁服务项目</w:t>
      </w:r>
      <w:r>
        <w:rPr>
          <w:sz w:val="21"/>
        </w:rPr>
        <w:t>（采购项目编号：）进行采购，于</w:t>
      </w:r>
      <w:r>
        <w:rPr>
          <w:sz w:val="21"/>
        </w:rPr>
        <w:t xml:space="preserve">  </w:t>
      </w:r>
      <w:r>
        <w:rPr>
          <w:sz w:val="21"/>
        </w:rPr>
        <w:t>年</w:t>
      </w:r>
      <w:r>
        <w:rPr>
          <w:sz w:val="21"/>
        </w:rPr>
        <w:t xml:space="preserve">  </w:t>
      </w:r>
      <w:r>
        <w:rPr>
          <w:sz w:val="21"/>
        </w:rPr>
        <w:t>月</w:t>
      </w:r>
      <w:r>
        <w:rPr>
          <w:sz w:val="21"/>
        </w:rPr>
        <w:t xml:space="preserve">   </w:t>
      </w:r>
      <w:r>
        <w:rPr>
          <w:sz w:val="21"/>
        </w:rPr>
        <w:t>日通过公开招标，经评标委员会评定</w:t>
      </w:r>
      <w:r>
        <w:rPr>
          <w:sz w:val="21"/>
        </w:rPr>
        <w:t>中标人</w:t>
      </w:r>
      <w:r>
        <w:rPr>
          <w:sz w:val="21"/>
          <w:u w:val="single"/>
        </w:rPr>
        <w:t xml:space="preserve">       </w:t>
      </w:r>
      <w:r>
        <w:rPr>
          <w:sz w:val="21"/>
        </w:rPr>
        <w:t>为</w:t>
      </w:r>
      <w:r>
        <w:rPr>
          <w:sz w:val="21"/>
        </w:rPr>
        <w:t>乙方</w:t>
      </w:r>
      <w:r>
        <w:rPr>
          <w:sz w:val="21"/>
        </w:rPr>
        <w:t>。根据《中华人民共和国政府采购法》及其实施条例、《中华人民共和国民法典》，经双方协商一致，签订本合同，以资共同遵照执行。</w:t>
      </w:r>
    </w:p>
    <w:p>
      <w:pPr>
        <w:pStyle w:val="null3"/>
        <w:ind w:firstLine="422"/>
        <w:jc w:val="both"/>
      </w:pPr>
      <w:r>
        <w:rPr>
          <w:sz w:val="21"/>
          <w:b/>
        </w:rPr>
        <w:t>一</w:t>
      </w:r>
      <w:r>
        <w:rPr>
          <w:sz w:val="21"/>
          <w:b/>
        </w:rPr>
        <w:t>.合同基本信息</w:t>
      </w:r>
    </w:p>
    <w:p>
      <w:pPr>
        <w:pStyle w:val="null3"/>
        <w:ind w:firstLine="420"/>
        <w:jc w:val="both"/>
      </w:pPr>
      <w:r>
        <w:rPr>
          <w:sz w:val="21"/>
        </w:rPr>
        <w:t>（一）合同名称：</w:t>
      </w:r>
      <w:r>
        <w:rPr>
          <w:sz w:val="21"/>
        </w:rPr>
        <w:t>东莞滨海湾新区算力资源租赁服务项目</w:t>
      </w:r>
      <w:r>
        <w:rPr>
          <w:sz w:val="21"/>
        </w:rPr>
        <w:t>合同</w:t>
      </w:r>
    </w:p>
    <w:p>
      <w:pPr>
        <w:pStyle w:val="null3"/>
        <w:ind w:left="480"/>
        <w:jc w:val="both"/>
      </w:pPr>
      <w:r>
        <w:rPr>
          <w:sz w:val="21"/>
        </w:rPr>
        <w:t>（二）项目实施地点：东莞滨海湾</w:t>
      </w:r>
      <w:r>
        <w:rPr>
          <w:sz w:val="21"/>
        </w:rPr>
        <w:t xml:space="preserve"> </w:t>
      </w:r>
      <w:r>
        <w:rPr>
          <w:sz w:val="21"/>
        </w:rPr>
        <w:t>(</w:t>
      </w:r>
      <w:r>
        <w:rPr>
          <w:sz w:val="21"/>
        </w:rPr>
        <w:t>或</w:t>
      </w:r>
      <w:r>
        <w:rPr>
          <w:sz w:val="21"/>
        </w:rPr>
        <w:t>甲方</w:t>
      </w:r>
      <w:r>
        <w:rPr>
          <w:sz w:val="21"/>
        </w:rPr>
        <w:t>指</w:t>
      </w:r>
      <w:r>
        <w:rPr>
          <w:sz w:val="21"/>
        </w:rPr>
        <w:t>定</w:t>
      </w:r>
      <w:r>
        <w:rPr>
          <w:sz w:val="21"/>
        </w:rPr>
        <w:t>地点</w:t>
      </w:r>
      <w:r>
        <w:rPr>
          <w:sz w:val="21"/>
        </w:rPr>
        <w:t>)</w:t>
      </w:r>
      <w:r>
        <w:rPr>
          <w:sz w:val="21"/>
        </w:rPr>
        <w:t>。</w:t>
      </w:r>
    </w:p>
    <w:p>
      <w:pPr>
        <w:pStyle w:val="null3"/>
        <w:ind w:left="480"/>
        <w:jc w:val="both"/>
      </w:pPr>
      <w:r>
        <w:rPr>
          <w:sz w:val="21"/>
        </w:rPr>
        <w:t>（三）甲方联系人</w:t>
      </w:r>
    </w:p>
    <w:p>
      <w:pPr>
        <w:pStyle w:val="null3"/>
        <w:ind w:left="480" w:firstLine="480"/>
        <w:jc w:val="both"/>
      </w:pPr>
      <w:r>
        <w:rPr>
          <w:sz w:val="21"/>
        </w:rPr>
        <w:t>姓名：</w:t>
      </w:r>
    </w:p>
    <w:p>
      <w:pPr>
        <w:pStyle w:val="null3"/>
        <w:ind w:firstLine="840"/>
        <w:jc w:val="both"/>
      </w:pPr>
      <w:r>
        <w:rPr>
          <w:sz w:val="21"/>
        </w:rPr>
        <w:t>电话：</w:t>
      </w:r>
    </w:p>
    <w:p>
      <w:pPr>
        <w:pStyle w:val="null3"/>
        <w:ind w:firstLine="840"/>
        <w:jc w:val="both"/>
      </w:pPr>
      <w:r>
        <w:rPr>
          <w:sz w:val="21"/>
        </w:rPr>
        <w:t>地址：</w:t>
      </w:r>
    </w:p>
    <w:p>
      <w:pPr>
        <w:pStyle w:val="null3"/>
        <w:ind w:firstLine="420"/>
        <w:jc w:val="both"/>
      </w:pPr>
      <w:r>
        <w:rPr>
          <w:sz w:val="21"/>
        </w:rPr>
        <w:t>（四）乙方联系人</w:t>
      </w:r>
    </w:p>
    <w:p>
      <w:pPr>
        <w:pStyle w:val="null3"/>
        <w:ind w:left="480" w:firstLine="480"/>
        <w:jc w:val="both"/>
      </w:pPr>
      <w:r>
        <w:rPr>
          <w:sz w:val="21"/>
        </w:rPr>
        <w:t>姓名：</w:t>
      </w:r>
    </w:p>
    <w:p>
      <w:pPr>
        <w:pStyle w:val="null3"/>
        <w:ind w:firstLine="840"/>
        <w:jc w:val="both"/>
      </w:pPr>
      <w:r>
        <w:rPr>
          <w:sz w:val="21"/>
        </w:rPr>
        <w:t>电话：</w:t>
      </w:r>
    </w:p>
    <w:p>
      <w:pPr>
        <w:pStyle w:val="null3"/>
        <w:ind w:firstLine="840"/>
        <w:jc w:val="both"/>
      </w:pPr>
      <w:r>
        <w:rPr>
          <w:sz w:val="21"/>
        </w:rPr>
        <w:t>Email：</w:t>
      </w:r>
    </w:p>
    <w:p>
      <w:pPr>
        <w:pStyle w:val="null3"/>
        <w:ind w:firstLine="840"/>
        <w:jc w:val="both"/>
      </w:pPr>
      <w:r>
        <w:rPr>
          <w:sz w:val="21"/>
        </w:rPr>
        <w:t>地址：</w:t>
      </w:r>
    </w:p>
    <w:p>
      <w:pPr>
        <w:pStyle w:val="null3"/>
        <w:jc w:val="both"/>
      </w:pPr>
      <w:r>
        <w:rPr>
          <w:sz w:val="21"/>
        </w:rPr>
        <w:t xml:space="preserve">   </w:t>
      </w:r>
      <w:r>
        <w:rPr>
          <w:sz w:val="21"/>
          <w:b/>
        </w:rPr>
        <w:t>二</w:t>
      </w:r>
      <w:r>
        <w:rPr>
          <w:sz w:val="21"/>
          <w:b/>
        </w:rPr>
        <w:t>.合同实施范围</w:t>
      </w:r>
    </w:p>
    <w:p>
      <w:pPr>
        <w:pStyle w:val="null3"/>
        <w:ind w:firstLine="420"/>
        <w:jc w:val="both"/>
      </w:pPr>
      <w:r>
        <w:rPr>
          <w:sz w:val="21"/>
        </w:rPr>
        <w:t>（一）合同交付内容</w:t>
      </w:r>
    </w:p>
    <w:p>
      <w:pPr>
        <w:pStyle w:val="null3"/>
        <w:jc w:val="both"/>
        <w:outlineLvl w:val="3"/>
      </w:pPr>
      <w:r>
        <w:rPr>
          <w:sz w:val="21"/>
          <w:b/>
        </w:rPr>
        <w:t>一）概述</w:t>
      </w:r>
    </w:p>
    <w:p>
      <w:pPr>
        <w:pStyle w:val="null3"/>
        <w:ind w:firstLine="315"/>
        <w:jc w:val="both"/>
      </w:pPr>
      <w:r>
        <w:rPr>
          <w:sz w:val="21"/>
        </w:rPr>
        <w:t>本项目旨在通过本地化部署的高性能算力集群，以及为用户提供</w:t>
      </w:r>
      <w:r>
        <w:rPr>
          <w:sz w:val="21"/>
        </w:rPr>
        <w:t>GPU裸金属服务器租赁及配套大模型部署实施服务，支持东莞滨海湾新区AI模型训练、推理服务任务，满足数据安全需求。服务涵盖硬件资源、模型部署、运维保障以及软件适配调优。</w:t>
      </w:r>
    </w:p>
    <w:p>
      <w:pPr>
        <w:pStyle w:val="null3"/>
        <w:jc w:val="both"/>
        <w:outlineLvl w:val="3"/>
      </w:pPr>
      <w:r>
        <w:rPr>
          <w:sz w:val="21"/>
          <w:b/>
        </w:rPr>
        <w:t>二）招标清单</w:t>
      </w:r>
    </w:p>
    <w:tbl>
      <w:tblPr>
        <w:tblW w:w="0" w:type="auto"/>
        <w:tblBorders>
          <w:top w:val="none" w:color="000000" w:sz="4"/>
          <w:left w:val="none" w:color="000000" w:sz="4"/>
          <w:bottom w:val="none" w:color="000000" w:sz="4"/>
          <w:right w:val="none" w:color="000000" w:sz="4"/>
          <w:insideH w:val="none"/>
          <w:insideV w:val="none"/>
        </w:tblBorders>
      </w:tblPr>
      <w:tblGrid>
        <w:gridCol w:w="650"/>
        <w:gridCol w:w="1253"/>
        <w:gridCol w:w="742"/>
        <w:gridCol w:w="758"/>
        <w:gridCol w:w="4903"/>
      </w:tblGrid>
      <w:tr>
        <w:tc>
          <w:tcPr>
            <w:tcW w:type="dxa" w:w="6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7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7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49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技术要求</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服务器</w:t>
            </w:r>
            <w:r>
              <w:rPr>
                <w:sz w:val="21"/>
              </w:rPr>
              <w:t>租赁服务</w:t>
            </w:r>
          </w:p>
        </w:tc>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月</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36</w:t>
            </w:r>
            <w:r>
              <w:rPr>
                <w:sz w:val="21"/>
              </w:rPr>
              <w:t>.00</w:t>
            </w:r>
          </w:p>
        </w:tc>
        <w:tc>
          <w:tcPr>
            <w:tcW w:type="dxa" w:w="4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GPU</w:t>
            </w:r>
            <w:r>
              <w:rPr>
                <w:sz w:val="21"/>
              </w:rPr>
              <w:t>：</w:t>
            </w:r>
            <w:r>
              <w:rPr>
                <w:sz w:val="21"/>
              </w:rPr>
              <w:t>显存</w:t>
            </w:r>
            <w:r>
              <w:rPr>
                <w:sz w:val="21"/>
              </w:rPr>
              <w:t>640G，算力&gt;&gt;15PFlops;</w:t>
            </w:r>
          </w:p>
          <w:p>
            <w:pPr>
              <w:pStyle w:val="null3"/>
              <w:jc w:val="left"/>
            </w:pPr>
            <w:r>
              <w:rPr>
                <w:sz w:val="21"/>
              </w:rPr>
              <w:t>CPU：核心数96核，内存2048GB，主频≥2.1GHz；</w:t>
            </w:r>
          </w:p>
          <w:p>
            <w:pPr>
              <w:pStyle w:val="null3"/>
              <w:jc w:val="left"/>
            </w:pPr>
            <w:r>
              <w:rPr>
                <w:sz w:val="21"/>
              </w:rPr>
              <w:t>存储系统：</w:t>
            </w:r>
            <w:r>
              <w:rPr>
                <w:sz w:val="21"/>
              </w:rPr>
              <w:t>15.36TB</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基础技术服务</w:t>
            </w:r>
          </w:p>
        </w:tc>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.00</w:t>
            </w:r>
          </w:p>
        </w:tc>
        <w:tc>
          <w:tcPr>
            <w:tcW w:type="dxa" w:w="4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按实际需求提供系统预装、调度支持、镜像仓库和开源模型</w:t>
            </w:r>
          </w:p>
        </w:tc>
      </w:tr>
    </w:tbl>
    <w:p>
      <w:pPr>
        <w:pStyle w:val="null3"/>
        <w:jc w:val="both"/>
        <w:outlineLvl w:val="3"/>
      </w:pPr>
      <w:r>
        <w:rPr>
          <w:sz w:val="21"/>
          <w:b/>
        </w:rPr>
        <w:t>三）硬件配置要求</w:t>
      </w:r>
    </w:p>
    <w:p>
      <w:pPr>
        <w:pStyle w:val="null3"/>
        <w:ind w:firstLine="315"/>
        <w:jc w:val="both"/>
      </w:pPr>
      <w:r>
        <w:rPr>
          <w:sz w:val="21"/>
        </w:rPr>
        <w:t>1、硬件架构与机箱规格</w:t>
      </w:r>
    </w:p>
    <w:p>
      <w:pPr>
        <w:pStyle w:val="null3"/>
        <w:ind w:firstLine="315"/>
        <w:jc w:val="both"/>
      </w:pPr>
      <w:r>
        <w:rPr>
          <w:sz w:val="21"/>
        </w:rPr>
        <w:t>机箱规格：</w:t>
      </w:r>
      <w:r>
        <w:rPr>
          <w:sz w:val="21"/>
        </w:rPr>
        <w:t>5U标准机架式设计，兼容19英寸机柜，标配原厂导轨。</w:t>
      </w:r>
    </w:p>
    <w:p>
      <w:pPr>
        <w:pStyle w:val="null3"/>
        <w:ind w:firstLine="315"/>
        <w:jc w:val="both"/>
      </w:pPr>
      <w:r>
        <w:rPr>
          <w:sz w:val="21"/>
        </w:rPr>
        <w:t>▲扩展插槽：支持12个PCIe 5.0标准插槽，1个OCP 3.0网卡专用插槽。</w:t>
      </w:r>
    </w:p>
    <w:p>
      <w:pPr>
        <w:pStyle w:val="null3"/>
        <w:ind w:firstLine="315"/>
        <w:jc w:val="both"/>
      </w:pPr>
      <w:r>
        <w:rPr>
          <w:sz w:val="21"/>
        </w:rPr>
        <w:t>2、计算性能要求</w:t>
      </w:r>
    </w:p>
    <w:p>
      <w:pPr>
        <w:pStyle w:val="null3"/>
        <w:ind w:firstLine="315"/>
        <w:jc w:val="both"/>
      </w:pPr>
      <w:r>
        <w:rPr>
          <w:sz w:val="21"/>
        </w:rPr>
        <w:t>中央处理器（</w:t>
      </w:r>
      <w:r>
        <w:rPr>
          <w:sz w:val="21"/>
        </w:rPr>
        <w:t>CPU）：配置两枚服务器级处理器，满足以下规格</w:t>
      </w:r>
    </w:p>
    <w:p>
      <w:pPr>
        <w:pStyle w:val="null3"/>
        <w:ind w:firstLine="315"/>
        <w:jc w:val="both"/>
      </w:pPr>
      <w:r>
        <w:rPr>
          <w:sz w:val="21"/>
        </w:rPr>
        <w:t>▲物理核心数：单颗≥48核，总线程数≥96</w:t>
      </w:r>
    </w:p>
    <w:p>
      <w:pPr>
        <w:pStyle w:val="null3"/>
        <w:ind w:firstLine="315"/>
        <w:jc w:val="both"/>
      </w:pPr>
      <w:r>
        <w:rPr>
          <w:sz w:val="21"/>
        </w:rPr>
        <w:t>▲主频：基础频率≥2.1GHz，睿频≥3.8GHz</w:t>
      </w:r>
    </w:p>
    <w:p>
      <w:pPr>
        <w:pStyle w:val="null3"/>
        <w:ind w:firstLine="315"/>
        <w:jc w:val="both"/>
      </w:pPr>
      <w:r>
        <w:rPr>
          <w:sz w:val="21"/>
        </w:rPr>
        <w:t>缓存：三级缓存</w:t>
      </w:r>
      <w:r>
        <w:rPr>
          <w:sz w:val="21"/>
        </w:rPr>
        <w:t>≥105MB</w:t>
      </w:r>
    </w:p>
    <w:p>
      <w:pPr>
        <w:pStyle w:val="null3"/>
        <w:ind w:firstLine="315"/>
        <w:jc w:val="both"/>
      </w:pPr>
      <w:r>
        <w:rPr>
          <w:sz w:val="21"/>
        </w:rPr>
        <w:t>制程工艺：</w:t>
      </w:r>
      <w:r>
        <w:rPr>
          <w:sz w:val="21"/>
        </w:rPr>
        <w:t>≤7nm</w:t>
      </w:r>
    </w:p>
    <w:p>
      <w:pPr>
        <w:pStyle w:val="null3"/>
        <w:ind w:firstLine="315"/>
        <w:jc w:val="both"/>
      </w:pPr>
      <w:r>
        <w:rPr>
          <w:sz w:val="21"/>
        </w:rPr>
        <w:t>热设计功耗（</w:t>
      </w:r>
      <w:r>
        <w:rPr>
          <w:sz w:val="21"/>
        </w:rPr>
        <w:t>TDP）：290W≤TDP≤350W</w:t>
      </w:r>
    </w:p>
    <w:p>
      <w:pPr>
        <w:pStyle w:val="null3"/>
        <w:ind w:firstLine="315"/>
        <w:jc w:val="both"/>
      </w:pPr>
      <w:r>
        <w:rPr>
          <w:sz w:val="21"/>
        </w:rPr>
        <w:t>指令集：支持</w:t>
      </w:r>
      <w:r>
        <w:rPr>
          <w:sz w:val="21"/>
        </w:rPr>
        <w:t>AMX、AVX-512</w:t>
      </w:r>
    </w:p>
    <w:p>
      <w:pPr>
        <w:pStyle w:val="null3"/>
        <w:ind w:firstLine="315"/>
        <w:jc w:val="both"/>
      </w:pPr>
      <w:r>
        <w:rPr>
          <w:sz w:val="21"/>
        </w:rPr>
        <w:t>互联协议：</w:t>
      </w:r>
      <w:r>
        <w:rPr>
          <w:sz w:val="21"/>
        </w:rPr>
        <w:t>CPU间互联采用非PCIe底层协议。</w:t>
      </w:r>
    </w:p>
    <w:p>
      <w:pPr>
        <w:pStyle w:val="null3"/>
        <w:ind w:firstLine="315"/>
        <w:jc w:val="both"/>
      </w:pPr>
      <w:r>
        <w:rPr>
          <w:sz w:val="21"/>
        </w:rPr>
        <w:t>图形处理器（</w:t>
      </w:r>
      <w:r>
        <w:rPr>
          <w:sz w:val="21"/>
        </w:rPr>
        <w:t>GPU）：配置≥8块高性能计算GPU卡，满足以下规格：</w:t>
      </w:r>
    </w:p>
    <w:p>
      <w:pPr>
        <w:pStyle w:val="null3"/>
        <w:ind w:firstLine="315"/>
        <w:jc w:val="both"/>
      </w:pPr>
      <w:r>
        <w:rPr>
          <w:sz w:val="21"/>
        </w:rPr>
        <w:t>▲单卡显存：≥80GB，支持NVLink高速互连技术</w:t>
      </w:r>
    </w:p>
    <w:p>
      <w:pPr>
        <w:pStyle w:val="null3"/>
        <w:ind w:firstLine="315"/>
        <w:jc w:val="both"/>
      </w:pPr>
      <w:r>
        <w:rPr>
          <w:sz w:val="21"/>
        </w:rPr>
        <w:t>接口类型：</w:t>
      </w:r>
      <w:r>
        <w:rPr>
          <w:sz w:val="21"/>
        </w:rPr>
        <w:t>SXM标准接口</w:t>
      </w:r>
    </w:p>
    <w:p>
      <w:pPr>
        <w:pStyle w:val="null3"/>
        <w:ind w:firstLine="315"/>
        <w:jc w:val="both"/>
      </w:pPr>
      <w:r>
        <w:rPr>
          <w:sz w:val="21"/>
        </w:rPr>
        <w:t>散热方案：标配</w:t>
      </w:r>
      <w:r>
        <w:rPr>
          <w:sz w:val="21"/>
        </w:rPr>
        <w:t>1套专用GPU服务器散热套件</w:t>
      </w:r>
    </w:p>
    <w:p>
      <w:pPr>
        <w:pStyle w:val="null3"/>
        <w:ind w:firstLine="315"/>
        <w:jc w:val="both"/>
      </w:pPr>
      <w:r>
        <w:rPr>
          <w:sz w:val="21"/>
        </w:rPr>
        <w:t>▲总算力（FP16）峰值&gt;15PFlops</w:t>
      </w:r>
    </w:p>
    <w:p>
      <w:pPr>
        <w:pStyle w:val="null3"/>
        <w:ind w:firstLine="315"/>
        <w:jc w:val="both"/>
      </w:pPr>
      <w:r>
        <w:rPr>
          <w:sz w:val="21"/>
        </w:rPr>
        <w:t>3、内存与存储配置</w:t>
      </w:r>
    </w:p>
    <w:p>
      <w:pPr>
        <w:pStyle w:val="null3"/>
        <w:ind w:firstLine="315"/>
        <w:jc w:val="both"/>
      </w:pPr>
      <w:r>
        <w:rPr>
          <w:sz w:val="21"/>
        </w:rPr>
        <w:t>内存系统</w:t>
      </w:r>
    </w:p>
    <w:p>
      <w:pPr>
        <w:pStyle w:val="null3"/>
        <w:ind w:firstLine="315"/>
        <w:jc w:val="both"/>
      </w:pPr>
      <w:r>
        <w:rPr>
          <w:sz w:val="21"/>
        </w:rPr>
        <w:t>▲总容量：≥2048GB</w:t>
      </w:r>
    </w:p>
    <w:p>
      <w:pPr>
        <w:pStyle w:val="null3"/>
        <w:ind w:firstLine="315"/>
        <w:jc w:val="both"/>
      </w:pPr>
      <w:r>
        <w:rPr>
          <w:sz w:val="21"/>
        </w:rPr>
        <w:t>单条规格：</w:t>
      </w:r>
      <w:r>
        <w:rPr>
          <w:sz w:val="21"/>
        </w:rPr>
        <w:t>64GB DDR5，速率≥4800MT/s</w:t>
      </w:r>
    </w:p>
    <w:p>
      <w:pPr>
        <w:pStyle w:val="null3"/>
        <w:ind w:firstLine="315"/>
        <w:jc w:val="both"/>
      </w:pPr>
      <w:r>
        <w:rPr>
          <w:sz w:val="21"/>
        </w:rPr>
        <w:t>类型：支持</w:t>
      </w:r>
      <w:r>
        <w:rPr>
          <w:sz w:val="21"/>
        </w:rPr>
        <w:t>RDIMM或LRDIMM，需提供兼容性列表。</w:t>
      </w:r>
    </w:p>
    <w:p>
      <w:pPr>
        <w:pStyle w:val="null3"/>
        <w:ind w:firstLine="315"/>
        <w:jc w:val="both"/>
      </w:pPr>
      <w:r>
        <w:rPr>
          <w:sz w:val="21"/>
        </w:rPr>
        <w:t>存储系统</w:t>
      </w:r>
    </w:p>
    <w:p>
      <w:pPr>
        <w:pStyle w:val="null3"/>
        <w:ind w:firstLine="315"/>
        <w:jc w:val="both"/>
      </w:pPr>
      <w:r>
        <w:rPr>
          <w:sz w:val="21"/>
        </w:rPr>
        <w:t>系统盘：</w:t>
      </w:r>
      <w:r>
        <w:rPr>
          <w:sz w:val="21"/>
        </w:rPr>
        <w:t>≥2×960GB M.2 SSD，支持热插拔。</w:t>
      </w:r>
    </w:p>
    <w:p>
      <w:pPr>
        <w:pStyle w:val="null3"/>
        <w:ind w:firstLine="315"/>
        <w:jc w:val="both"/>
      </w:pPr>
      <w:r>
        <w:rPr>
          <w:sz w:val="21"/>
        </w:rPr>
        <w:t>▲数据盘：≥4×3.84TB NVMe SSD，支持PCIe 5.0通道。</w:t>
      </w:r>
    </w:p>
    <w:p>
      <w:pPr>
        <w:pStyle w:val="null3"/>
        <w:ind w:firstLine="315"/>
        <w:jc w:val="both"/>
      </w:pPr>
      <w:r>
        <w:rPr>
          <w:sz w:val="21"/>
        </w:rPr>
        <w:t>阵列控制器：</w:t>
      </w:r>
    </w:p>
    <w:p>
      <w:pPr>
        <w:pStyle w:val="null3"/>
        <w:ind w:firstLine="315"/>
        <w:jc w:val="both"/>
      </w:pPr>
      <w:r>
        <w:rPr>
          <w:sz w:val="21"/>
        </w:rPr>
        <w:t>▲支持RAID级别：0/1/10/5/50/6/60</w:t>
      </w:r>
    </w:p>
    <w:p>
      <w:pPr>
        <w:pStyle w:val="null3"/>
        <w:ind w:firstLine="315"/>
        <w:jc w:val="both"/>
      </w:pPr>
      <w:r>
        <w:rPr>
          <w:sz w:val="21"/>
        </w:rPr>
        <w:t>缓存容量：</w:t>
      </w:r>
      <w:r>
        <w:rPr>
          <w:sz w:val="21"/>
        </w:rPr>
        <w:t>≥2GB，支持缓存数据保护，配置掉电保护模块（PLP）。</w:t>
      </w:r>
    </w:p>
    <w:p>
      <w:pPr>
        <w:pStyle w:val="null3"/>
        <w:ind w:firstLine="315"/>
        <w:jc w:val="both"/>
      </w:pPr>
      <w:r>
        <w:rPr>
          <w:sz w:val="21"/>
        </w:rPr>
        <w:t>4、网络与外设接口</w:t>
      </w:r>
    </w:p>
    <w:p>
      <w:pPr>
        <w:pStyle w:val="null3"/>
        <w:ind w:firstLine="315"/>
        <w:jc w:val="both"/>
      </w:pPr>
      <w:r>
        <w:rPr>
          <w:sz w:val="21"/>
        </w:rPr>
        <w:t>网络接口：标配双口千兆电口网卡</w:t>
      </w:r>
    </w:p>
    <w:p>
      <w:pPr>
        <w:pStyle w:val="null3"/>
        <w:ind w:firstLine="315"/>
        <w:jc w:val="both"/>
      </w:pPr>
      <w:r>
        <w:rPr>
          <w:sz w:val="21"/>
        </w:rPr>
        <w:t>扩展配置：</w:t>
      </w:r>
      <w:r>
        <w:rPr>
          <w:sz w:val="21"/>
        </w:rPr>
        <w:t>1块双端口25GE光口网卡，▲含满配</w:t>
      </w:r>
      <w:r>
        <w:rPr>
          <w:sz w:val="21"/>
        </w:rPr>
        <w:t>25G</w:t>
      </w:r>
      <w:r>
        <w:rPr>
          <w:sz w:val="21"/>
        </w:rPr>
        <w:t>多模光模块，光模块功率</w:t>
      </w:r>
      <w:r>
        <w:rPr>
          <w:sz w:val="21"/>
        </w:rPr>
        <w:t>&lt;1w（提供设备出厂测试报告复印件加盖乙方公章）</w:t>
      </w:r>
    </w:p>
    <w:p>
      <w:pPr>
        <w:pStyle w:val="null3"/>
        <w:ind w:firstLine="315"/>
        <w:jc w:val="both"/>
      </w:pPr>
      <w:r>
        <w:rPr>
          <w:sz w:val="21"/>
        </w:rPr>
        <w:t>外设接口</w:t>
      </w:r>
    </w:p>
    <w:p>
      <w:pPr>
        <w:pStyle w:val="null3"/>
        <w:ind w:firstLine="315"/>
        <w:jc w:val="both"/>
      </w:pPr>
      <w:r>
        <w:rPr>
          <w:sz w:val="21"/>
        </w:rPr>
        <w:t>前端面板：支持</w:t>
      </w:r>
      <w:r>
        <w:rPr>
          <w:sz w:val="21"/>
        </w:rPr>
        <w:t>5个USB 3.0接口、1个VGA接口、1个HDMI管理网口、1个Type-C Debug接口。</w:t>
      </w:r>
    </w:p>
    <w:p>
      <w:pPr>
        <w:pStyle w:val="null3"/>
        <w:ind w:firstLine="315"/>
        <w:jc w:val="both"/>
      </w:pPr>
      <w:r>
        <w:rPr>
          <w:sz w:val="21"/>
        </w:rPr>
        <w:t>无线扩展：支持外接</w:t>
      </w:r>
      <w:r>
        <w:rPr>
          <w:sz w:val="21"/>
        </w:rPr>
        <w:t>USB WiFi模块，允许管理员通过手机或PC无线登录管理界面。</w:t>
      </w:r>
    </w:p>
    <w:p>
      <w:pPr>
        <w:pStyle w:val="null3"/>
        <w:ind w:firstLine="315"/>
        <w:jc w:val="both"/>
      </w:pPr>
      <w:r>
        <w:rPr>
          <w:sz w:val="21"/>
        </w:rPr>
        <w:t>5、电源系统</w:t>
      </w:r>
    </w:p>
    <w:p>
      <w:pPr>
        <w:pStyle w:val="null3"/>
        <w:ind w:firstLine="315"/>
        <w:jc w:val="both"/>
      </w:pPr>
      <w:r>
        <w:rPr>
          <w:sz w:val="21"/>
        </w:rPr>
        <w:t>电源配置</w:t>
      </w:r>
    </w:p>
    <w:p>
      <w:pPr>
        <w:pStyle w:val="null3"/>
        <w:ind w:firstLine="315"/>
        <w:jc w:val="both"/>
      </w:pPr>
      <w:r>
        <w:rPr>
          <w:sz w:val="21"/>
        </w:rPr>
        <w:t>▲电源：≥6×3000W电源模块</w:t>
      </w:r>
    </w:p>
    <w:p>
      <w:pPr>
        <w:pStyle w:val="null3"/>
        <w:ind w:firstLine="315"/>
        <w:jc w:val="both"/>
      </w:pPr>
      <w:r>
        <w:rPr>
          <w:sz w:val="21"/>
        </w:rPr>
        <w:t>冗余机制：支持</w:t>
      </w:r>
      <w:r>
        <w:rPr>
          <w:sz w:val="21"/>
        </w:rPr>
        <w:t>N+1冗余，确保单电源故障时系统持续运行。</w:t>
      </w:r>
    </w:p>
    <w:p>
      <w:pPr>
        <w:pStyle w:val="null3"/>
        <w:ind w:firstLine="315"/>
        <w:jc w:val="both"/>
      </w:pPr>
      <w:r>
        <w:rPr>
          <w:sz w:val="21"/>
        </w:rPr>
        <w:t>6、管理与维护功能</w:t>
      </w:r>
    </w:p>
    <w:p>
      <w:pPr>
        <w:pStyle w:val="null3"/>
        <w:ind w:firstLine="315"/>
        <w:jc w:val="both"/>
      </w:pPr>
      <w:r>
        <w:rPr>
          <w:sz w:val="21"/>
        </w:rPr>
        <w:t>系统管理：支持通过</w:t>
      </w:r>
      <w:r>
        <w:rPr>
          <w:sz w:val="21"/>
        </w:rPr>
        <w:t>SSDP（简单服务发现协议）自动发现设备。提供多维度温度监控界面，实时展示CPU、GPU、内存、硬盘等关键部件温度。</w:t>
      </w:r>
    </w:p>
    <w:p>
      <w:pPr>
        <w:pStyle w:val="null3"/>
        <w:ind w:firstLine="315"/>
        <w:jc w:val="both"/>
      </w:pPr>
      <w:r>
        <w:rPr>
          <w:sz w:val="21"/>
        </w:rPr>
        <w:t>故障诊断：支持通过专用服务</w:t>
      </w:r>
      <w:r>
        <w:rPr>
          <w:sz w:val="21"/>
        </w:rPr>
        <w:t>U盘导出设备故障诊断日志。管理软件需兼容主流操作系统（Windows/Linux），提供无线管理功能。</w:t>
      </w:r>
    </w:p>
    <w:p>
      <w:pPr>
        <w:pStyle w:val="null3"/>
        <w:jc w:val="both"/>
        <w:outlineLvl w:val="3"/>
      </w:pPr>
      <w:r>
        <w:rPr>
          <w:sz w:val="21"/>
          <w:b/>
        </w:rPr>
        <w:t>四）设备安装与部署服务要求</w:t>
      </w:r>
    </w:p>
    <w:p>
      <w:pPr>
        <w:pStyle w:val="null3"/>
        <w:ind w:firstLine="315"/>
        <w:jc w:val="both"/>
      </w:pPr>
      <w:r>
        <w:rPr>
          <w:sz w:val="21"/>
        </w:rPr>
        <w:t>4.1 基础技术服务内容要求</w:t>
      </w:r>
    </w:p>
    <w:p>
      <w:pPr>
        <w:pStyle w:val="null3"/>
        <w:ind w:firstLine="315"/>
        <w:jc w:val="both"/>
      </w:pPr>
      <w:r>
        <w:rPr>
          <w:sz w:val="21"/>
        </w:rPr>
        <w:t>（</w:t>
      </w:r>
      <w:r>
        <w:rPr>
          <w:sz w:val="21"/>
        </w:rPr>
        <w:t>1）系统预装：按甲方实际需求提供Ubuntu/CentOS等操作系统 + Docker/Kubernetes环境部署。</w:t>
      </w:r>
    </w:p>
    <w:p>
      <w:pPr>
        <w:pStyle w:val="null3"/>
        <w:ind w:firstLine="315"/>
        <w:jc w:val="both"/>
      </w:pPr>
      <w:r>
        <w:rPr>
          <w:sz w:val="21"/>
        </w:rPr>
        <w:t>（</w:t>
      </w:r>
      <w:r>
        <w:rPr>
          <w:sz w:val="21"/>
        </w:rPr>
        <w:t>2）调度支持：按甲方实际需求提供Slurm/Kubeflow等作业调度工具集成。</w:t>
      </w:r>
    </w:p>
    <w:p>
      <w:pPr>
        <w:pStyle w:val="null3"/>
        <w:ind w:firstLine="315"/>
        <w:jc w:val="both"/>
      </w:pPr>
      <w:r>
        <w:rPr>
          <w:sz w:val="21"/>
        </w:rPr>
        <w:t>（</w:t>
      </w:r>
      <w:r>
        <w:rPr>
          <w:sz w:val="21"/>
        </w:rPr>
        <w:t>3）镜像仓库：按甲方实际需求提供预置主流深度学习框架（PyTorch/TensorFlow等）</w:t>
      </w:r>
    </w:p>
    <w:p>
      <w:pPr>
        <w:pStyle w:val="null3"/>
        <w:ind w:firstLine="315"/>
        <w:jc w:val="both"/>
      </w:pPr>
      <w:r>
        <w:rPr>
          <w:sz w:val="21"/>
        </w:rPr>
        <w:t>（</w:t>
      </w:r>
      <w:r>
        <w:rPr>
          <w:sz w:val="21"/>
        </w:rPr>
        <w:t>4）开源模型：按甲方实际需求提供DeepSeek模型部署。</w:t>
      </w:r>
    </w:p>
    <w:p>
      <w:pPr>
        <w:pStyle w:val="null3"/>
        <w:ind w:firstLine="315"/>
      </w:pPr>
      <w:r>
        <w:rPr>
          <w:sz w:val="21"/>
        </w:rPr>
        <w:t xml:space="preserve">4.2 </w:t>
      </w:r>
      <w:r>
        <w:rPr>
          <w:sz w:val="21"/>
        </w:rPr>
        <w:t>乙方</w:t>
      </w:r>
      <w:r>
        <w:rPr>
          <w:sz w:val="21"/>
        </w:rPr>
        <w:t>设置实施</w:t>
      </w:r>
      <w:r>
        <w:rPr>
          <w:sz w:val="21"/>
        </w:rPr>
        <w:t>项目经理。从项目开始到结束，项目经理在现场负责项目管理、协调、沟通等工作。</w:t>
      </w:r>
    </w:p>
    <w:p>
      <w:pPr>
        <w:pStyle w:val="null3"/>
        <w:ind w:firstLine="315"/>
      </w:pPr>
      <w:r>
        <w:rPr>
          <w:sz w:val="21"/>
        </w:rPr>
        <w:t>4.3 设备到货与安装</w:t>
      </w:r>
    </w:p>
    <w:p>
      <w:pPr>
        <w:pStyle w:val="null3"/>
        <w:ind w:firstLine="315"/>
      </w:pPr>
      <w:r>
        <w:rPr>
          <w:sz w:val="21"/>
        </w:rPr>
        <w:t>（</w:t>
      </w:r>
      <w:r>
        <w:rPr>
          <w:sz w:val="21"/>
        </w:rPr>
        <w:t>1）乙方</w:t>
      </w:r>
      <w:r>
        <w:rPr>
          <w:sz w:val="21"/>
        </w:rPr>
        <w:t>向甲方提供所投标的产品的安装和调试服务。</w:t>
      </w:r>
    </w:p>
    <w:p>
      <w:pPr>
        <w:pStyle w:val="null3"/>
        <w:ind w:firstLine="315"/>
      </w:pPr>
      <w:r>
        <w:rPr>
          <w:sz w:val="21"/>
        </w:rPr>
        <w:t>（</w:t>
      </w:r>
      <w:r>
        <w:rPr>
          <w:sz w:val="21"/>
        </w:rPr>
        <w:t>2）</w:t>
      </w:r>
      <w:r>
        <w:rPr>
          <w:sz w:val="21"/>
        </w:rPr>
        <w:t>到货验收通过后，于本招标文件规定时间内完成合同产品的安装、调试等工作，并提供安装、调试过程中的各种文档资料。</w:t>
      </w:r>
    </w:p>
    <w:p>
      <w:pPr>
        <w:pStyle w:val="null3"/>
        <w:ind w:firstLine="315"/>
      </w:pPr>
      <w:r>
        <w:rPr>
          <w:sz w:val="21"/>
        </w:rPr>
        <w:t>（</w:t>
      </w:r>
      <w:r>
        <w:rPr>
          <w:sz w:val="21"/>
        </w:rPr>
        <w:t>3）</w:t>
      </w:r>
      <w:r>
        <w:rPr>
          <w:sz w:val="21"/>
        </w:rPr>
        <w:t>乙方现场勘察服务器安装所需电源、网线、光纤等跳线等线缆，</w:t>
      </w:r>
      <w:r>
        <w:rPr>
          <w:sz w:val="21"/>
        </w:rPr>
        <w:t>产品安装、部署必要的配套配件，由乙方</w:t>
      </w:r>
      <w:r>
        <w:rPr>
          <w:sz w:val="21"/>
        </w:rPr>
        <w:t>免费</w:t>
      </w:r>
      <w:r>
        <w:rPr>
          <w:sz w:val="21"/>
        </w:rPr>
        <w:t>提供，</w:t>
      </w:r>
      <w:r>
        <w:rPr>
          <w:sz w:val="21"/>
        </w:rPr>
        <w:t>并在服务周期内提供免费的质保服务。</w:t>
      </w:r>
    </w:p>
    <w:p>
      <w:pPr>
        <w:pStyle w:val="null3"/>
        <w:ind w:firstLine="315"/>
      </w:pPr>
      <w:r>
        <w:rPr>
          <w:sz w:val="21"/>
        </w:rPr>
        <w:t>（</w:t>
      </w:r>
      <w:r>
        <w:rPr>
          <w:sz w:val="21"/>
        </w:rPr>
        <w:t>4）乙方负责</w:t>
      </w:r>
      <w:r>
        <w:rPr>
          <w:sz w:val="21"/>
        </w:rPr>
        <w:t>修复在实施工作中发现的合同产品相关的故障和缺陷，确保系统稳定、可靠运行。</w:t>
      </w:r>
    </w:p>
    <w:p>
      <w:pPr>
        <w:pStyle w:val="null3"/>
        <w:ind w:firstLine="315"/>
      </w:pPr>
      <w:r>
        <w:rPr>
          <w:sz w:val="21"/>
        </w:rPr>
        <w:t>（</w:t>
      </w:r>
      <w:r>
        <w:rPr>
          <w:sz w:val="21"/>
        </w:rPr>
        <w:t>5）</w:t>
      </w:r>
      <w:r>
        <w:rPr>
          <w:sz w:val="21"/>
        </w:rPr>
        <w:t>乙方免费提供配件、软件、硬件的安装及设备初始化（含配合招标方完成相关监控工具接入等）服务工作</w:t>
      </w:r>
      <w:r>
        <w:rPr>
          <w:sz w:val="21"/>
        </w:rPr>
        <w:t>，</w:t>
      </w:r>
      <w:r>
        <w:rPr>
          <w:sz w:val="21"/>
        </w:rPr>
        <w:t>乙方负责完成设备上架服务（含上架所需的各类线缆、耗材和标签）。</w:t>
      </w:r>
    </w:p>
    <w:p>
      <w:pPr>
        <w:pStyle w:val="null3"/>
        <w:ind w:firstLine="315"/>
      </w:pPr>
      <w:r>
        <w:rPr>
          <w:sz w:val="21"/>
        </w:rPr>
        <w:t>（</w:t>
      </w:r>
      <w:r>
        <w:rPr>
          <w:sz w:val="21"/>
        </w:rPr>
        <w:t>6）</w:t>
      </w:r>
      <w:r>
        <w:rPr>
          <w:sz w:val="21"/>
        </w:rPr>
        <w:t>按照甲方相关标准开展软硬件的信息安全加固，如</w:t>
      </w:r>
      <w:r>
        <w:rPr>
          <w:sz w:val="21"/>
        </w:rPr>
        <w:t>BIOS升级、固件更新等。</w:t>
      </w:r>
    </w:p>
    <w:p>
      <w:pPr>
        <w:pStyle w:val="null3"/>
        <w:ind w:firstLine="315"/>
      </w:pPr>
      <w:r>
        <w:rPr>
          <w:sz w:val="21"/>
        </w:rPr>
        <w:t>（</w:t>
      </w:r>
      <w:r>
        <w:rPr>
          <w:sz w:val="21"/>
        </w:rPr>
        <w:t>7）</w:t>
      </w:r>
      <w:r>
        <w:rPr>
          <w:sz w:val="21"/>
        </w:rPr>
        <w:t>其余要求由签订</w:t>
      </w:r>
      <w:r>
        <w:rPr>
          <w:sz w:val="21"/>
        </w:rPr>
        <w:t>合同</w:t>
      </w:r>
      <w:r>
        <w:rPr>
          <w:sz w:val="21"/>
        </w:rPr>
        <w:t>的双方协商确定。</w:t>
      </w:r>
    </w:p>
    <w:p>
      <w:pPr>
        <w:pStyle w:val="null3"/>
        <w:ind w:firstLine="315"/>
      </w:pPr>
      <w:r>
        <w:rPr>
          <w:sz w:val="21"/>
        </w:rPr>
        <w:t>4.4</w:t>
      </w:r>
      <w:r>
        <w:rPr>
          <w:sz w:val="21"/>
        </w:rPr>
        <w:t>测试</w:t>
      </w:r>
    </w:p>
    <w:p>
      <w:pPr>
        <w:pStyle w:val="null3"/>
        <w:ind w:firstLine="315"/>
      </w:pPr>
      <w:r>
        <w:rPr>
          <w:sz w:val="21"/>
        </w:rPr>
        <w:t>（</w:t>
      </w:r>
      <w:r>
        <w:rPr>
          <w:sz w:val="21"/>
        </w:rPr>
        <w:t>1）</w:t>
      </w:r>
      <w:r>
        <w:rPr>
          <w:sz w:val="21"/>
        </w:rPr>
        <w:t>在整体软硬件平台的联通、联调工作完成后，协助甲方进行测试。</w:t>
      </w:r>
    </w:p>
    <w:p>
      <w:pPr>
        <w:pStyle w:val="null3"/>
        <w:ind w:firstLine="315"/>
      </w:pPr>
      <w:r>
        <w:rPr>
          <w:sz w:val="21"/>
        </w:rPr>
        <w:t>（</w:t>
      </w:r>
      <w:r>
        <w:rPr>
          <w:sz w:val="21"/>
        </w:rPr>
        <w:t>2）</w:t>
      </w:r>
      <w:r>
        <w:rPr>
          <w:sz w:val="21"/>
        </w:rPr>
        <w:t>如果在测试中发现合同产品相关问题，乙方对其缺陷或缺点进行修正，然后重新测试直至合格为止。</w:t>
      </w:r>
    </w:p>
    <w:p>
      <w:pPr>
        <w:pStyle w:val="null3"/>
        <w:ind w:firstLine="315"/>
      </w:pPr>
      <w:r>
        <w:rPr>
          <w:sz w:val="21"/>
        </w:rPr>
        <w:t>（</w:t>
      </w:r>
      <w:r>
        <w:rPr>
          <w:sz w:val="21"/>
        </w:rPr>
        <w:t>3）</w:t>
      </w:r>
      <w:r>
        <w:rPr>
          <w:sz w:val="21"/>
        </w:rPr>
        <w:t>根据项目情况详细约定。</w:t>
      </w:r>
    </w:p>
    <w:p>
      <w:pPr>
        <w:pStyle w:val="null3"/>
        <w:jc w:val="both"/>
        <w:outlineLvl w:val="3"/>
      </w:pPr>
      <w:r>
        <w:rPr>
          <w:sz w:val="21"/>
          <w:b/>
        </w:rPr>
        <w:t>五）运维服务要求</w:t>
      </w:r>
    </w:p>
    <w:p>
      <w:pPr>
        <w:pStyle w:val="null3"/>
        <w:ind w:firstLine="315"/>
        <w:jc w:val="both"/>
      </w:pPr>
      <w:r>
        <w:rPr>
          <w:sz w:val="21"/>
        </w:rPr>
        <w:t>1、乙方确保设备租赁期内，配套的运维服务的保障，维保服务期：3年，非人为损坏出现的设备严重故障，免费更换时间：7天。</w:t>
      </w:r>
    </w:p>
    <w:p>
      <w:pPr>
        <w:pStyle w:val="null3"/>
        <w:ind w:firstLine="315"/>
        <w:jc w:val="both"/>
      </w:pPr>
      <w:r>
        <w:rPr>
          <w:sz w:val="21"/>
        </w:rPr>
        <w:t>2、乙方确保所租赁设备的可用性，可用性：全年服务可用性≥99.9%（不可抗力除外）；</w:t>
      </w:r>
    </w:p>
    <w:p>
      <w:pPr>
        <w:pStyle w:val="null3"/>
        <w:ind w:firstLine="315"/>
        <w:jc w:val="both"/>
      </w:pPr>
      <w:r>
        <w:rPr>
          <w:sz w:val="21"/>
        </w:rPr>
        <w:t>3、其它运维服务要求：乙方需要提供配套的定期系统运维服务。</w:t>
      </w:r>
    </w:p>
    <w:p>
      <w:pPr>
        <w:pStyle w:val="null3"/>
        <w:ind w:firstLine="315"/>
        <w:jc w:val="both"/>
      </w:pPr>
      <w:r>
        <w:rPr>
          <w:sz w:val="21"/>
        </w:rPr>
        <w:t>4、乙方完成服务期内的正常维护及故障处理，甲方提出故障后3小时内到达现场，6小时内排除故障，若6小时内无法排除故障，乙方须提供新的替代设备，保障服务连续性。</w:t>
      </w:r>
    </w:p>
    <w:p>
      <w:pPr>
        <w:pStyle w:val="null3"/>
        <w:jc w:val="both"/>
        <w:outlineLvl w:val="3"/>
      </w:pPr>
      <w:r>
        <w:rPr>
          <w:sz w:val="21"/>
          <w:b/>
        </w:rPr>
        <w:t>六）供货与进度</w:t>
      </w:r>
    </w:p>
    <w:p>
      <w:pPr>
        <w:pStyle w:val="null3"/>
        <w:ind w:firstLine="315"/>
        <w:jc w:val="left"/>
      </w:pPr>
      <w:r>
        <w:rPr>
          <w:sz w:val="21"/>
        </w:rPr>
        <w:t>乙方</w:t>
      </w:r>
      <w:r>
        <w:rPr>
          <w:sz w:val="21"/>
        </w:rPr>
        <w:t>响应并承诺下列交</w:t>
      </w:r>
      <w:r>
        <w:rPr>
          <w:sz w:val="21"/>
        </w:rPr>
        <w:t>付</w:t>
      </w:r>
      <w:r>
        <w:rPr>
          <w:sz w:val="21"/>
        </w:rPr>
        <w:t>时间要求</w:t>
      </w:r>
      <w:r>
        <w:rPr>
          <w:sz w:val="21"/>
        </w:rPr>
        <w:t>：</w:t>
      </w:r>
      <w:r>
        <w:rPr>
          <w:sz w:val="21"/>
        </w:rPr>
        <w:t>产品在合同生效后</w:t>
      </w:r>
      <w:r>
        <w:rPr>
          <w:sz w:val="21"/>
        </w:rPr>
        <w:t>10</w:t>
      </w:r>
      <w:r>
        <w:rPr>
          <w:sz w:val="21"/>
        </w:rPr>
        <w:t>天内</w:t>
      </w:r>
      <w:r>
        <w:rPr>
          <w:sz w:val="21"/>
        </w:rPr>
        <w:t>完成到货，</w:t>
      </w:r>
      <w:r>
        <w:rPr>
          <w:sz w:val="21"/>
        </w:rPr>
        <w:t>5天内</w:t>
      </w:r>
      <w:r>
        <w:rPr>
          <w:sz w:val="21"/>
        </w:rPr>
        <w:t>设备安装调试初步验收完成</w:t>
      </w:r>
      <w:r>
        <w:rPr>
          <w:sz w:val="21"/>
        </w:rPr>
        <w:t>。</w:t>
      </w:r>
    </w:p>
    <w:p>
      <w:pPr>
        <w:pStyle w:val="null3"/>
        <w:jc w:val="both"/>
        <w:outlineLvl w:val="3"/>
      </w:pPr>
      <w:r>
        <w:rPr>
          <w:sz w:val="21"/>
          <w:b/>
        </w:rPr>
        <w:t>七）数据安全要求</w:t>
      </w:r>
    </w:p>
    <w:p>
      <w:pPr>
        <w:pStyle w:val="null3"/>
        <w:ind w:firstLine="420"/>
        <w:jc w:val="both"/>
      </w:pPr>
      <w:r>
        <w:rPr>
          <w:sz w:val="21"/>
        </w:rPr>
        <w:t>要求乙方依据《数据安全法》《网络安全法》及工信部</w:t>
      </w:r>
      <w:r>
        <w:rPr>
          <w:sz w:val="21"/>
        </w:rPr>
        <w:t>IDC</w:t>
      </w:r>
      <w:r>
        <w:rPr>
          <w:sz w:val="21"/>
        </w:rPr>
        <w:t>数据安全保护规范（工信厅网安〔</w:t>
      </w:r>
      <w:r>
        <w:rPr>
          <w:sz w:val="21"/>
        </w:rPr>
        <w:t>2025</w:t>
      </w:r>
      <w:r>
        <w:rPr>
          <w:sz w:val="21"/>
        </w:rPr>
        <w:t>〕</w:t>
      </w:r>
      <w:r>
        <w:rPr>
          <w:sz w:val="21"/>
        </w:rPr>
        <w:t>5</w:t>
      </w:r>
      <w:r>
        <w:rPr>
          <w:sz w:val="21"/>
        </w:rPr>
        <w:t>号）制定，需在服务全生命周期落实相关政策要求。</w:t>
      </w:r>
    </w:p>
    <w:p>
      <w:pPr>
        <w:pStyle w:val="null3"/>
        <w:ind w:firstLine="420"/>
        <w:jc w:val="both"/>
      </w:pPr>
      <w:r>
        <w:rPr>
          <w:sz w:val="21"/>
        </w:rPr>
        <w:t>（二）合同交付时限</w:t>
      </w:r>
    </w:p>
    <w:p>
      <w:pPr>
        <w:pStyle w:val="null3"/>
        <w:ind w:firstLine="420"/>
        <w:jc w:val="both"/>
      </w:pPr>
      <w:r>
        <w:rPr>
          <w:sz w:val="21"/>
        </w:rPr>
        <w:t>自合同签订之日起，</w:t>
      </w:r>
      <w:r>
        <w:rPr>
          <w:sz w:val="21"/>
        </w:rPr>
        <w:t>15天内完成</w:t>
      </w:r>
      <w:r>
        <w:rPr>
          <w:sz w:val="21"/>
        </w:rPr>
        <w:t>安装调试与</w:t>
      </w:r>
      <w:r>
        <w:rPr>
          <w:sz w:val="21"/>
        </w:rPr>
        <w:t>交付。交付经</w:t>
      </w:r>
      <w:r>
        <w:rPr>
          <w:sz w:val="21"/>
        </w:rPr>
        <w:t>甲方</w:t>
      </w:r>
      <w:r>
        <w:rPr>
          <w:sz w:val="21"/>
        </w:rPr>
        <w:t>确认通过后进入维保服务期。</w:t>
      </w:r>
    </w:p>
    <w:p>
      <w:pPr>
        <w:pStyle w:val="null3"/>
        <w:ind w:firstLine="420"/>
        <w:jc w:val="both"/>
      </w:pPr>
      <w:r>
        <w:rPr>
          <w:sz w:val="21"/>
        </w:rPr>
        <w:t>（</w:t>
      </w:r>
      <w:r>
        <w:rPr>
          <w:sz w:val="21"/>
        </w:rPr>
        <w:t>三</w:t>
      </w:r>
      <w:r>
        <w:rPr>
          <w:sz w:val="21"/>
        </w:rPr>
        <w:t>）合同</w:t>
      </w:r>
      <w:r>
        <w:rPr>
          <w:sz w:val="21"/>
        </w:rPr>
        <w:t>服务期</w:t>
      </w:r>
    </w:p>
    <w:p>
      <w:pPr>
        <w:pStyle w:val="null3"/>
        <w:ind w:right="-60" w:firstLine="420"/>
        <w:jc w:val="both"/>
      </w:pPr>
      <w:r>
        <w:rPr>
          <w:sz w:val="21"/>
        </w:rPr>
        <w:t>自</w:t>
      </w:r>
      <w:r>
        <w:rPr>
          <w:sz w:val="21"/>
        </w:rPr>
        <w:t>乙方</w:t>
      </w:r>
      <w:r>
        <w:rPr>
          <w:sz w:val="21"/>
        </w:rPr>
        <w:t>提供的算力资源经</w:t>
      </w:r>
      <w:r>
        <w:rPr>
          <w:sz w:val="21"/>
        </w:rPr>
        <w:t>甲方</w:t>
      </w:r>
      <w:r>
        <w:rPr>
          <w:sz w:val="21"/>
        </w:rPr>
        <w:t>确认交付通过次日起三年。</w:t>
      </w:r>
    </w:p>
    <w:p>
      <w:pPr>
        <w:pStyle w:val="null3"/>
        <w:ind w:right="-60" w:firstLine="422"/>
        <w:jc w:val="both"/>
      </w:pPr>
      <w:r>
        <w:rPr>
          <w:sz w:val="21"/>
          <w:b/>
        </w:rPr>
        <w:t>三</w:t>
      </w:r>
      <w:r>
        <w:rPr>
          <w:sz w:val="21"/>
          <w:b/>
        </w:rPr>
        <w:t>.项目验收方式及标准</w:t>
      </w:r>
    </w:p>
    <w:p>
      <w:pPr>
        <w:pStyle w:val="null3"/>
        <w:ind w:firstLine="420"/>
        <w:jc w:val="both"/>
      </w:pPr>
      <w:r>
        <w:rPr>
          <w:sz w:val="21"/>
        </w:rPr>
        <w:t>（一）乙方需按甲方要求进行设备摆放，保证所有设备符合行业正常运行标准，经乙方自检合格后，甲乙双方以项目交付确认书形式对乙方交付成果进行确认，项目交付确认书经双方签字盖章后视为项目验收通过。设备运行质量满足验收要求后，方可用以提供使用服务。</w:t>
      </w:r>
    </w:p>
    <w:p>
      <w:pPr>
        <w:pStyle w:val="null3"/>
        <w:ind w:firstLine="420"/>
        <w:jc w:val="both"/>
      </w:pPr>
      <w:r>
        <w:rPr>
          <w:sz w:val="21"/>
        </w:rPr>
        <w:t>（二）如验收不合格，乙方在接到甲方整改通知后应立即进行整改，直至验收合格。</w:t>
      </w:r>
    </w:p>
    <w:p>
      <w:pPr>
        <w:pStyle w:val="null3"/>
        <w:ind w:firstLine="422"/>
        <w:jc w:val="both"/>
      </w:pPr>
      <w:r>
        <w:rPr>
          <w:sz w:val="21"/>
          <w:b/>
        </w:rPr>
        <w:t>四</w:t>
      </w:r>
      <w:r>
        <w:rPr>
          <w:sz w:val="21"/>
          <w:b/>
        </w:rPr>
        <w:t>.合同价款</w:t>
      </w:r>
    </w:p>
    <w:p>
      <w:pPr>
        <w:pStyle w:val="null3"/>
        <w:ind w:firstLine="420"/>
        <w:jc w:val="both"/>
      </w:pPr>
      <w:r>
        <w:rPr>
          <w:sz w:val="21"/>
        </w:rPr>
        <w:t>（一）合同总价：</w:t>
      </w:r>
      <w:r>
        <w:rPr>
          <w:sz w:val="21"/>
          <w:u w:val="single"/>
        </w:rPr>
        <w:t xml:space="preserve">           </w:t>
      </w:r>
      <w:r>
        <w:rPr>
          <w:sz w:val="21"/>
        </w:rPr>
        <w:t>。合同期内，如存在数量增减，按实结算。</w:t>
      </w:r>
    </w:p>
    <w:p>
      <w:pPr>
        <w:pStyle w:val="null3"/>
        <w:ind w:firstLine="420"/>
        <w:jc w:val="both"/>
      </w:pPr>
      <w:r>
        <w:rPr>
          <w:sz w:val="21"/>
        </w:rPr>
        <w:t>（二）合同总价包含：完成</w:t>
      </w:r>
      <w:r>
        <w:rPr>
          <w:sz w:val="21"/>
        </w:rPr>
        <w:t>本次招标所有服务内容的费用，包括人工、材料、措施费、税费以及合同实施过程中等不可预见的全部费用。</w:t>
      </w:r>
      <w:r>
        <w:rPr>
          <w:sz w:val="21"/>
        </w:rPr>
        <w:t xml:space="preserve"> </w:t>
      </w:r>
    </w:p>
    <w:p>
      <w:pPr>
        <w:pStyle w:val="null3"/>
        <w:ind w:firstLine="422"/>
        <w:jc w:val="both"/>
      </w:pPr>
      <w:r>
        <w:rPr>
          <w:sz w:val="21"/>
          <w:b/>
        </w:rPr>
        <w:t>五</w:t>
      </w:r>
      <w:r>
        <w:rPr>
          <w:sz w:val="21"/>
          <w:b/>
        </w:rPr>
        <w:t>.合同支付方式</w:t>
      </w:r>
    </w:p>
    <w:p>
      <w:pPr>
        <w:pStyle w:val="null3"/>
        <w:ind w:firstLine="420"/>
        <w:jc w:val="both"/>
      </w:pPr>
      <w:r>
        <w:rPr>
          <w:sz w:val="21"/>
        </w:rPr>
        <w:t>（</w:t>
      </w:r>
      <w:r>
        <w:rPr>
          <w:sz w:val="21"/>
        </w:rPr>
        <w:t>一</w:t>
      </w:r>
      <w:r>
        <w:rPr>
          <w:sz w:val="21"/>
        </w:rPr>
        <w:t>）</w:t>
      </w:r>
      <w:r>
        <w:rPr>
          <w:sz w:val="21"/>
        </w:rPr>
        <w:t>甲方</w:t>
      </w:r>
      <w:r>
        <w:rPr>
          <w:sz w:val="21"/>
        </w:rPr>
        <w:t>以人民币形式支付给</w:t>
      </w:r>
      <w:r>
        <w:rPr>
          <w:sz w:val="21"/>
        </w:rPr>
        <w:t>乙方</w:t>
      </w:r>
      <w:r>
        <w:rPr>
          <w:sz w:val="21"/>
        </w:rPr>
        <w:t>。</w:t>
      </w:r>
    </w:p>
    <w:p>
      <w:pPr>
        <w:pStyle w:val="null3"/>
        <w:ind w:firstLine="420"/>
        <w:jc w:val="both"/>
      </w:pPr>
      <w:r>
        <w:rPr>
          <w:sz w:val="21"/>
        </w:rPr>
        <w:t>（</w:t>
      </w:r>
      <w:r>
        <w:rPr>
          <w:sz w:val="21"/>
        </w:rPr>
        <w:t>二</w:t>
      </w:r>
      <w:r>
        <w:rPr>
          <w:sz w:val="21"/>
        </w:rPr>
        <w:t>）</w:t>
      </w:r>
      <w:r>
        <w:rPr>
          <w:sz w:val="21"/>
        </w:rPr>
        <w:t>合同期为</w:t>
      </w:r>
      <w:r>
        <w:rPr>
          <w:sz w:val="21"/>
        </w:rPr>
        <w:t>3年，每个月的租赁费按平均36个月计算，采用先用后付原则按月进行支付，乙方提供的算力资源经甲方确认交付通过后，甲方每月支付一次租赁费（即每次支付租赁费=合同总金额÷36），乙方在次月15日前开具有效的相应发票给甲方，甲方在收到发票及相关付款资料确认无误后30个工作日内支付相应服务费。涉及财政审核的，财政审核期间不视为甲方逾期付款。</w:t>
      </w:r>
    </w:p>
    <w:p>
      <w:pPr>
        <w:pStyle w:val="null3"/>
        <w:ind w:firstLine="420"/>
        <w:jc w:val="both"/>
      </w:pPr>
      <w:r>
        <w:rPr>
          <w:sz w:val="21"/>
        </w:rPr>
        <w:t>（</w:t>
      </w:r>
      <w:r>
        <w:rPr>
          <w:sz w:val="21"/>
        </w:rPr>
        <w:t>三</w:t>
      </w:r>
      <w:r>
        <w:rPr>
          <w:sz w:val="21"/>
        </w:rPr>
        <w:t>）</w:t>
      </w:r>
      <w:r>
        <w:rPr>
          <w:sz w:val="21"/>
        </w:rPr>
        <w:t>乙方</w:t>
      </w:r>
      <w:r>
        <w:rPr>
          <w:sz w:val="21"/>
        </w:rPr>
        <w:t>凭以下有效文件与</w:t>
      </w:r>
      <w:r>
        <w:rPr>
          <w:sz w:val="21"/>
        </w:rPr>
        <w:t>甲方</w:t>
      </w:r>
      <w:r>
        <w:rPr>
          <w:sz w:val="21"/>
        </w:rPr>
        <w:t>结算：</w:t>
      </w:r>
    </w:p>
    <w:p>
      <w:pPr>
        <w:pStyle w:val="null3"/>
        <w:ind w:firstLine="420"/>
        <w:jc w:val="both"/>
      </w:pPr>
      <w:r>
        <w:rPr>
          <w:sz w:val="21"/>
        </w:rPr>
        <w:t>（</w:t>
      </w:r>
      <w:r>
        <w:rPr>
          <w:sz w:val="21"/>
        </w:rPr>
        <w:t>1）合同；</w:t>
      </w:r>
    </w:p>
    <w:p>
      <w:pPr>
        <w:pStyle w:val="null3"/>
        <w:ind w:firstLine="420"/>
        <w:jc w:val="both"/>
      </w:pPr>
      <w:r>
        <w:rPr>
          <w:sz w:val="21"/>
        </w:rPr>
        <w:t>（</w:t>
      </w:r>
      <w:r>
        <w:rPr>
          <w:sz w:val="21"/>
        </w:rPr>
        <w:t>2）</w:t>
      </w:r>
      <w:r>
        <w:rPr>
          <w:sz w:val="21"/>
        </w:rPr>
        <w:t>乙方</w:t>
      </w:r>
      <w:r>
        <w:rPr>
          <w:sz w:val="21"/>
        </w:rPr>
        <w:t>开具的正式发票；</w:t>
      </w:r>
    </w:p>
    <w:p>
      <w:pPr>
        <w:pStyle w:val="null3"/>
        <w:ind w:firstLine="420"/>
        <w:jc w:val="both"/>
      </w:pPr>
      <w:r>
        <w:rPr>
          <w:sz w:val="21"/>
        </w:rPr>
        <w:t>（</w:t>
      </w:r>
      <w:r>
        <w:rPr>
          <w:sz w:val="21"/>
        </w:rPr>
        <w:t>3）中标通知书；</w:t>
      </w:r>
    </w:p>
    <w:p>
      <w:pPr>
        <w:pStyle w:val="null3"/>
        <w:ind w:right="-60" w:firstLine="420"/>
        <w:jc w:val="both"/>
      </w:pPr>
      <w:r>
        <w:rPr>
          <w:sz w:val="21"/>
        </w:rPr>
        <w:t>（</w:t>
      </w:r>
      <w:r>
        <w:rPr>
          <w:sz w:val="21"/>
        </w:rPr>
        <w:t>四</w:t>
      </w:r>
      <w:r>
        <w:rPr>
          <w:sz w:val="21"/>
        </w:rPr>
        <w:t>）乙方收款银户信息：</w:t>
      </w:r>
    </w:p>
    <w:p>
      <w:pPr>
        <w:pStyle w:val="null3"/>
        <w:ind w:right="-60" w:firstLine="420"/>
        <w:jc w:val="both"/>
      </w:pPr>
      <w:r>
        <w:rPr>
          <w:sz w:val="21"/>
        </w:rPr>
        <w:t>开户银行：</w:t>
      </w:r>
    </w:p>
    <w:p>
      <w:pPr>
        <w:pStyle w:val="null3"/>
        <w:ind w:right="-60" w:firstLine="420"/>
        <w:jc w:val="both"/>
      </w:pPr>
      <w:r>
        <w:rPr>
          <w:sz w:val="21"/>
        </w:rPr>
        <w:t>开户名：</w:t>
      </w:r>
    </w:p>
    <w:p>
      <w:pPr>
        <w:pStyle w:val="null3"/>
        <w:ind w:right="-60" w:firstLine="420"/>
        <w:jc w:val="both"/>
      </w:pPr>
      <w:r>
        <w:rPr>
          <w:sz w:val="21"/>
        </w:rPr>
        <w:t>账号：</w:t>
      </w:r>
    </w:p>
    <w:p>
      <w:pPr>
        <w:pStyle w:val="null3"/>
        <w:ind w:right="-60" w:firstLine="420"/>
        <w:jc w:val="both"/>
      </w:pPr>
      <w:r>
        <w:rPr>
          <w:sz w:val="21"/>
        </w:rPr>
        <w:t>（</w:t>
      </w:r>
      <w:r>
        <w:rPr>
          <w:sz w:val="21"/>
        </w:rPr>
        <w:t>五</w:t>
      </w:r>
      <w:r>
        <w:rPr>
          <w:sz w:val="21"/>
        </w:rPr>
        <w:t>）在合同履行过程中，如遇国家税率政策变更，对于合同未履行完毕的部分，按照原标的含税（单）价不变的原则继续履行，后续不再另行签订补充协议。</w:t>
      </w:r>
    </w:p>
    <w:p>
      <w:pPr>
        <w:pStyle w:val="null3"/>
        <w:ind w:firstLine="422"/>
        <w:jc w:val="both"/>
      </w:pPr>
      <w:r>
        <w:rPr>
          <w:sz w:val="21"/>
          <w:b/>
        </w:rPr>
        <w:t>六</w:t>
      </w:r>
      <w:r>
        <w:rPr>
          <w:sz w:val="21"/>
          <w:b/>
        </w:rPr>
        <w:t>.</w:t>
      </w:r>
      <w:r>
        <w:rPr>
          <w:sz w:val="21"/>
          <w:b/>
        </w:rPr>
        <w:t>履约保证金</w:t>
      </w:r>
    </w:p>
    <w:p>
      <w:pPr>
        <w:pStyle w:val="null3"/>
        <w:ind w:firstLine="420"/>
        <w:jc w:val="both"/>
      </w:pPr>
      <w:r>
        <w:rPr>
          <w:sz w:val="21"/>
        </w:rPr>
        <w:t>乙方</w:t>
      </w:r>
      <w:r>
        <w:rPr>
          <w:sz w:val="21"/>
        </w:rPr>
        <w:t>应在领取中标通知书之后签订合同之前递交履约保证金，履约保证金金额为合同金额的</w:t>
      </w:r>
      <w:r>
        <w:rPr>
          <w:sz w:val="21"/>
        </w:rPr>
        <w:t>5%，履约保证金可采用保证金（银行转账、电汇）方式，或采用银行出具的履约担保函方式。①以银行转账形式提供履约担保的，履约保证金在合同期满后或最终验收合格后，</w:t>
      </w:r>
      <w:r>
        <w:rPr>
          <w:sz w:val="21"/>
        </w:rPr>
        <w:t>乙方</w:t>
      </w:r>
      <w:r>
        <w:rPr>
          <w:sz w:val="21"/>
        </w:rPr>
        <w:t>向</w:t>
      </w:r>
      <w:r>
        <w:rPr>
          <w:sz w:val="21"/>
        </w:rPr>
        <w:t>甲方</w:t>
      </w:r>
      <w:r>
        <w:rPr>
          <w:sz w:val="21"/>
        </w:rPr>
        <w:t>提交退回履约保证金的申请、履约保证金汇款凭证复印件、采购合同、采购项目验收报告原件、中标通知书复印件，前往</w:t>
      </w:r>
      <w:r>
        <w:rPr>
          <w:sz w:val="21"/>
        </w:rPr>
        <w:t>甲方</w:t>
      </w:r>
      <w:r>
        <w:rPr>
          <w:sz w:val="21"/>
        </w:rPr>
        <w:t>办理履约保证金退还手续。在本项目合同执行期间，如因</w:t>
      </w:r>
      <w:r>
        <w:rPr>
          <w:sz w:val="21"/>
        </w:rPr>
        <w:t>乙方</w:t>
      </w:r>
      <w:r>
        <w:rPr>
          <w:sz w:val="21"/>
        </w:rPr>
        <w:t>的过失或工作不配合的原因造成</w:t>
      </w:r>
      <w:r>
        <w:rPr>
          <w:sz w:val="21"/>
        </w:rPr>
        <w:t>甲方</w:t>
      </w:r>
      <w:r>
        <w:rPr>
          <w:sz w:val="21"/>
        </w:rPr>
        <w:t>经济损失的，</w:t>
      </w:r>
      <w:r>
        <w:rPr>
          <w:sz w:val="21"/>
        </w:rPr>
        <w:t>甲方</w:t>
      </w:r>
      <w:r>
        <w:rPr>
          <w:sz w:val="21"/>
        </w:rPr>
        <w:t>有权根据损失的数额直接在履约保证金中扣除并书面通知</w:t>
      </w:r>
      <w:r>
        <w:rPr>
          <w:sz w:val="21"/>
        </w:rPr>
        <w:t>乙方</w:t>
      </w:r>
      <w:r>
        <w:rPr>
          <w:sz w:val="21"/>
        </w:rPr>
        <w:t>。发生下列情况之一的，履约保证金不予退还：（</w:t>
      </w:r>
      <w:r>
        <w:rPr>
          <w:sz w:val="21"/>
        </w:rPr>
        <w:t>1）</w:t>
      </w:r>
      <w:r>
        <w:rPr>
          <w:sz w:val="21"/>
        </w:rPr>
        <w:t>乙方</w:t>
      </w:r>
      <w:r>
        <w:rPr>
          <w:sz w:val="21"/>
        </w:rPr>
        <w:t>将本项目转让给他人，或者在投标文件中未说明，且未经</w:t>
      </w:r>
      <w:r>
        <w:rPr>
          <w:sz w:val="21"/>
        </w:rPr>
        <w:t>甲方</w:t>
      </w:r>
      <w:r>
        <w:rPr>
          <w:sz w:val="21"/>
        </w:rPr>
        <w:t>同意，将中标项目分包给他人的，</w:t>
      </w:r>
      <w:r>
        <w:rPr>
          <w:sz w:val="21"/>
        </w:rPr>
        <w:t>甲方</w:t>
      </w:r>
      <w:r>
        <w:rPr>
          <w:sz w:val="21"/>
        </w:rPr>
        <w:t>可依法不予退还其履约保证金；（</w:t>
      </w:r>
      <w:r>
        <w:rPr>
          <w:sz w:val="21"/>
        </w:rPr>
        <w:t>2）</w:t>
      </w:r>
      <w:r>
        <w:rPr>
          <w:sz w:val="21"/>
        </w:rPr>
        <w:t>乙方</w:t>
      </w:r>
      <w:r>
        <w:rPr>
          <w:sz w:val="21"/>
        </w:rPr>
        <w:t>在履行采购合同期间，违反有关法律法规的规定及合同约定的条款，损害了</w:t>
      </w:r>
      <w:r>
        <w:rPr>
          <w:sz w:val="21"/>
        </w:rPr>
        <w:t>甲方</w:t>
      </w:r>
      <w:r>
        <w:rPr>
          <w:sz w:val="21"/>
        </w:rPr>
        <w:t>的利益，</w:t>
      </w:r>
      <w:r>
        <w:rPr>
          <w:sz w:val="21"/>
        </w:rPr>
        <w:t>甲方</w:t>
      </w:r>
      <w:r>
        <w:rPr>
          <w:sz w:val="21"/>
        </w:rPr>
        <w:t>可依法不予退还其履约保证金。</w:t>
      </w:r>
      <w:r>
        <w:rPr>
          <w:sz w:val="21"/>
        </w:rPr>
        <w:t>②以履约保函形式提供履约担保的，</w:t>
      </w:r>
      <w:r>
        <w:rPr>
          <w:sz w:val="21"/>
        </w:rPr>
        <w:t>乙方</w:t>
      </w:r>
      <w:r>
        <w:rPr>
          <w:sz w:val="21"/>
        </w:rPr>
        <w:t>履行完毕合同义务后，及履约保证函到期时，</w:t>
      </w:r>
      <w:r>
        <w:rPr>
          <w:sz w:val="21"/>
        </w:rPr>
        <w:t>甲方</w:t>
      </w:r>
      <w:r>
        <w:rPr>
          <w:sz w:val="21"/>
        </w:rPr>
        <w:t>将履约保函退回给</w:t>
      </w:r>
      <w:r>
        <w:rPr>
          <w:sz w:val="21"/>
        </w:rPr>
        <w:t>乙方</w:t>
      </w:r>
      <w:r>
        <w:rPr>
          <w:sz w:val="21"/>
        </w:rPr>
        <w:t>。在本项目合同执行期间，如因</w:t>
      </w:r>
      <w:r>
        <w:rPr>
          <w:sz w:val="21"/>
        </w:rPr>
        <w:t>乙方</w:t>
      </w:r>
      <w:r>
        <w:rPr>
          <w:sz w:val="21"/>
        </w:rPr>
        <w:t>的过失或工作不配合的原因造成</w:t>
      </w:r>
      <w:r>
        <w:rPr>
          <w:sz w:val="21"/>
        </w:rPr>
        <w:t>甲方</w:t>
      </w:r>
      <w:r>
        <w:rPr>
          <w:sz w:val="21"/>
        </w:rPr>
        <w:t>经济损失的，</w:t>
      </w:r>
      <w:r>
        <w:rPr>
          <w:sz w:val="21"/>
        </w:rPr>
        <w:t>甲方</w:t>
      </w:r>
      <w:r>
        <w:rPr>
          <w:sz w:val="21"/>
        </w:rPr>
        <w:t>有权按照履约保函中的条款执行并书面通知</w:t>
      </w:r>
      <w:r>
        <w:rPr>
          <w:sz w:val="21"/>
        </w:rPr>
        <w:t>乙方</w:t>
      </w:r>
      <w:r>
        <w:rPr>
          <w:sz w:val="21"/>
        </w:rPr>
        <w:t>。</w:t>
      </w:r>
    </w:p>
    <w:p>
      <w:pPr>
        <w:pStyle w:val="null3"/>
        <w:ind w:firstLine="211"/>
        <w:jc w:val="both"/>
      </w:pPr>
      <w:r>
        <w:rPr>
          <w:sz w:val="21"/>
          <w:b/>
        </w:rPr>
        <w:t>七</w:t>
      </w:r>
      <w:r>
        <w:rPr>
          <w:sz w:val="21"/>
          <w:b/>
        </w:rPr>
        <w:t>.甲方权利和义务</w:t>
      </w:r>
    </w:p>
    <w:p>
      <w:pPr>
        <w:pStyle w:val="null3"/>
        <w:ind w:firstLine="211"/>
        <w:jc w:val="both"/>
      </w:pPr>
      <w:r>
        <w:rPr>
          <w:sz w:val="21"/>
          <w:b/>
        </w:rPr>
        <w:t>（一）甲方权利</w:t>
      </w:r>
    </w:p>
    <w:p>
      <w:pPr>
        <w:pStyle w:val="null3"/>
        <w:ind w:firstLine="420"/>
        <w:jc w:val="both"/>
      </w:pPr>
      <w:r>
        <w:rPr>
          <w:sz w:val="21"/>
        </w:rPr>
        <w:t>1.甲方作为乙方的客户，享受乙方为客户提供的优质服务。</w:t>
      </w:r>
    </w:p>
    <w:p>
      <w:pPr>
        <w:pStyle w:val="null3"/>
        <w:ind w:firstLine="420"/>
        <w:jc w:val="both"/>
      </w:pPr>
      <w:r>
        <w:rPr>
          <w:sz w:val="21"/>
        </w:rPr>
        <w:t>2.甲方有权要求乙方指定1名项目负责人，负责本项目协调和调度工作，根据甲方要求随时提供项目进展情况。</w:t>
      </w:r>
    </w:p>
    <w:p>
      <w:pPr>
        <w:pStyle w:val="null3"/>
        <w:ind w:firstLine="420"/>
        <w:jc w:val="both"/>
      </w:pPr>
      <w:r>
        <w:rPr>
          <w:sz w:val="21"/>
        </w:rPr>
        <w:t>3.甲方有权要求乙方指定专人提供7*24小时报障热线服务，负责协调各方及时响应处理各类保障。</w:t>
      </w:r>
    </w:p>
    <w:p>
      <w:pPr>
        <w:pStyle w:val="null3"/>
        <w:ind w:firstLine="420"/>
        <w:jc w:val="both"/>
      </w:pPr>
      <w:r>
        <w:rPr>
          <w:sz w:val="21"/>
        </w:rPr>
        <w:t>4.甲方有权要求乙方建立重大问题应急处置及汇报制度。如出现重大问题或重要变更发生时，乙方需在当天内编制形成应急处理方案并向甲方书面报告，并提出解决问题的办法。</w:t>
      </w:r>
    </w:p>
    <w:p>
      <w:pPr>
        <w:pStyle w:val="null3"/>
        <w:ind w:firstLine="420"/>
        <w:jc w:val="both"/>
      </w:pPr>
      <w:r>
        <w:rPr>
          <w:sz w:val="21"/>
        </w:rPr>
        <w:t>5.甲方有权随时了解项目进展情况，对乙方在本合同项目实施工作进行现场检查及过程监督。</w:t>
      </w:r>
    </w:p>
    <w:p>
      <w:pPr>
        <w:pStyle w:val="null3"/>
        <w:ind w:firstLine="211"/>
        <w:jc w:val="both"/>
      </w:pPr>
      <w:r>
        <w:rPr>
          <w:sz w:val="21"/>
          <w:b/>
        </w:rPr>
        <w:t>（二）甲方义务</w:t>
      </w:r>
    </w:p>
    <w:p>
      <w:pPr>
        <w:pStyle w:val="null3"/>
        <w:ind w:firstLine="420"/>
        <w:jc w:val="both"/>
      </w:pPr>
      <w:r>
        <w:rPr>
          <w:sz w:val="21"/>
        </w:rPr>
        <w:t>1.甲方有义务在发现</w:t>
      </w:r>
      <w:r>
        <w:rPr>
          <w:sz w:val="21"/>
        </w:rPr>
        <w:t>设备</w:t>
      </w:r>
      <w:r>
        <w:rPr>
          <w:sz w:val="21"/>
        </w:rPr>
        <w:t>使用异常时，及时向乙方指定专人进行报障。</w:t>
      </w:r>
    </w:p>
    <w:p>
      <w:pPr>
        <w:pStyle w:val="null3"/>
        <w:ind w:firstLine="420"/>
        <w:jc w:val="both"/>
      </w:pPr>
      <w:r>
        <w:rPr>
          <w:sz w:val="21"/>
        </w:rPr>
        <w:t>2.甲方有义务协调解决乙方在建设及维护过程中所必需的环境，包括提供施工场地.供电.供水及其他。</w:t>
      </w:r>
    </w:p>
    <w:p>
      <w:pPr>
        <w:pStyle w:val="null3"/>
        <w:ind w:firstLine="420"/>
        <w:jc w:val="both"/>
      </w:pPr>
      <w:r>
        <w:rPr>
          <w:sz w:val="21"/>
        </w:rPr>
        <w:t>3.甲方有义务向乙方提供</w:t>
      </w:r>
      <w:r>
        <w:rPr>
          <w:sz w:val="21"/>
        </w:rPr>
        <w:t>项目</w:t>
      </w:r>
      <w:r>
        <w:rPr>
          <w:sz w:val="21"/>
        </w:rPr>
        <w:t>的规划建设需求，提供本项目所涉及的设备图纸</w:t>
      </w:r>
      <w:r>
        <w:rPr>
          <w:sz w:val="21"/>
        </w:rPr>
        <w:t>.使用说明</w:t>
      </w:r>
      <w:r>
        <w:rPr>
          <w:sz w:val="21"/>
        </w:rPr>
        <w:t>、</w:t>
      </w:r>
      <w:r>
        <w:rPr>
          <w:sz w:val="21"/>
        </w:rPr>
        <w:t>线路走向等资料，确认建设方案。</w:t>
      </w:r>
    </w:p>
    <w:p>
      <w:pPr>
        <w:pStyle w:val="null3"/>
        <w:ind w:firstLine="420"/>
        <w:jc w:val="both"/>
      </w:pPr>
      <w:r>
        <w:rPr>
          <w:sz w:val="21"/>
        </w:rPr>
        <w:t>4.甲方如需点位变更及相关设备迁移等，应提前1天书面通知乙</w:t>
      </w:r>
      <w:r>
        <w:rPr>
          <w:sz w:val="21"/>
        </w:rPr>
        <w:t>方</w:t>
      </w:r>
      <w:r>
        <w:rPr>
          <w:sz w:val="21"/>
        </w:rPr>
        <w:t>，</w:t>
      </w:r>
      <w:r>
        <w:rPr>
          <w:sz w:val="21"/>
        </w:rPr>
        <w:t>乙方</w:t>
      </w:r>
      <w:r>
        <w:rPr>
          <w:sz w:val="21"/>
        </w:rPr>
        <w:t>须</w:t>
      </w:r>
      <w:r>
        <w:rPr>
          <w:sz w:val="21"/>
        </w:rPr>
        <w:t>配合</w:t>
      </w:r>
      <w:r>
        <w:rPr>
          <w:sz w:val="21"/>
        </w:rPr>
        <w:t>完成点位变更及相关设备迁移，相关费用由乙方承担</w:t>
      </w:r>
      <w:r>
        <w:rPr>
          <w:sz w:val="21"/>
        </w:rPr>
        <w:t>。</w:t>
      </w:r>
    </w:p>
    <w:p>
      <w:pPr>
        <w:pStyle w:val="null3"/>
        <w:ind w:firstLine="420"/>
        <w:jc w:val="both"/>
      </w:pPr>
      <w:r>
        <w:rPr>
          <w:sz w:val="21"/>
        </w:rPr>
        <w:t>5.本项目产生的电费</w:t>
      </w:r>
      <w:r>
        <w:rPr>
          <w:sz w:val="21"/>
        </w:rPr>
        <w:t>、</w:t>
      </w:r>
      <w:r>
        <w:rPr>
          <w:sz w:val="21"/>
        </w:rPr>
        <w:t>空调费等费用，由甲方自行承担。</w:t>
      </w:r>
    </w:p>
    <w:p>
      <w:pPr>
        <w:pStyle w:val="null3"/>
        <w:ind w:firstLine="420"/>
        <w:jc w:val="both"/>
      </w:pPr>
      <w:r>
        <w:rPr>
          <w:sz w:val="21"/>
        </w:rPr>
        <w:t>6.甲方有义务及时支付合同费用。</w:t>
      </w:r>
    </w:p>
    <w:p>
      <w:pPr>
        <w:pStyle w:val="null3"/>
        <w:ind w:firstLine="422"/>
        <w:jc w:val="both"/>
      </w:pPr>
      <w:r>
        <w:rPr>
          <w:sz w:val="21"/>
          <w:b/>
        </w:rPr>
        <w:t>八</w:t>
      </w:r>
      <w:r>
        <w:rPr>
          <w:sz w:val="21"/>
          <w:b/>
        </w:rPr>
        <w:t>.乙方权利和义务</w:t>
      </w:r>
    </w:p>
    <w:p>
      <w:pPr>
        <w:pStyle w:val="null3"/>
        <w:ind w:right="-60" w:firstLine="420"/>
        <w:jc w:val="both"/>
      </w:pPr>
      <w:r>
        <w:rPr>
          <w:sz w:val="21"/>
        </w:rPr>
        <w:t>（一）乙方的权利</w:t>
      </w:r>
    </w:p>
    <w:p>
      <w:pPr>
        <w:pStyle w:val="null3"/>
        <w:ind w:right="-60" w:firstLine="420"/>
        <w:jc w:val="both"/>
      </w:pPr>
      <w:r>
        <w:rPr>
          <w:sz w:val="21"/>
        </w:rPr>
        <w:t>1.乙方有权按照本合同约定向甲方收取合同费用。</w:t>
      </w:r>
    </w:p>
    <w:p>
      <w:pPr>
        <w:pStyle w:val="null3"/>
        <w:ind w:right="-60" w:firstLine="420"/>
        <w:jc w:val="both"/>
      </w:pPr>
      <w:r>
        <w:rPr>
          <w:sz w:val="21"/>
        </w:rPr>
        <w:t>2.乙方有权向甲方获得与履行本合同相关内容的所有必须的文件、资料。</w:t>
      </w:r>
    </w:p>
    <w:p>
      <w:pPr>
        <w:pStyle w:val="null3"/>
        <w:ind w:right="-60" w:firstLine="420"/>
        <w:jc w:val="both"/>
      </w:pPr>
      <w:r>
        <w:rPr>
          <w:sz w:val="21"/>
        </w:rPr>
        <w:t>（二）乙方的义务</w:t>
      </w:r>
    </w:p>
    <w:p>
      <w:pPr>
        <w:pStyle w:val="null3"/>
        <w:ind w:right="-60" w:firstLine="420"/>
        <w:jc w:val="both"/>
      </w:pPr>
      <w:r>
        <w:rPr>
          <w:sz w:val="21"/>
        </w:rPr>
        <w:t>1.乙方应按照本合同约定时间及要求完成本项目。</w:t>
      </w:r>
    </w:p>
    <w:p>
      <w:pPr>
        <w:pStyle w:val="null3"/>
        <w:ind w:right="-60" w:firstLine="420"/>
        <w:jc w:val="both"/>
      </w:pPr>
      <w:r>
        <w:rPr>
          <w:sz w:val="21"/>
        </w:rPr>
        <w:t>2.乙方应全面履行本项目管理中的相关安全生产管理职责，避免发生安全生产事故。服务期内，发生的所有安全事故.因违反国家相关法律法规引起的一切后果（包括但不限于设计.施工工艺或所用产材料等引起的故障.事故.人身伤亡.财产损失等），均由乙方负全责</w:t>
      </w:r>
      <w:r>
        <w:rPr>
          <w:sz w:val="21"/>
        </w:rPr>
        <w:t>，</w:t>
      </w:r>
      <w:r>
        <w:rPr>
          <w:sz w:val="21"/>
        </w:rPr>
        <w:t>如事故造成甲方损失的，乙方还应赔偿甲方损失。</w:t>
      </w:r>
    </w:p>
    <w:p>
      <w:pPr>
        <w:pStyle w:val="null3"/>
        <w:ind w:right="-60" w:firstLine="420"/>
        <w:jc w:val="both"/>
      </w:pPr>
      <w:r>
        <w:rPr>
          <w:sz w:val="21"/>
        </w:rPr>
        <w:t>3.乙方保证其向甲方提交的各项工作成果不存在侵犯任何第三方合法权益的情形，否则由此造成甲方任何损失或支出的，均由乙方予以承担；如乙方所提交的工作成果存在侵权情形而甲方需继续使用他人享有的著作权、专利权等知识产权的,由此产生的使用费等全部费用及责任由乙方承担,保证甲方不承担任何费用。如因此影响甲方声誉和利益的,甲方有权不予支付合同款项,且乙方应当赔偿甲方由此遭受的全部损失</w:t>
      </w:r>
    </w:p>
    <w:p>
      <w:pPr>
        <w:pStyle w:val="null3"/>
        <w:ind w:right="-60" w:firstLine="420"/>
        <w:jc w:val="both"/>
      </w:pPr>
      <w:r>
        <w:rPr>
          <w:sz w:val="21"/>
        </w:rPr>
        <w:t>4</w:t>
      </w:r>
      <w:r>
        <w:rPr>
          <w:sz w:val="21"/>
        </w:rPr>
        <w:t>.乙方应配备具有相应资质.特定经验并接受过适当培训的工作人员。</w:t>
      </w:r>
    </w:p>
    <w:p>
      <w:pPr>
        <w:pStyle w:val="null3"/>
        <w:ind w:right="-60" w:firstLine="420"/>
        <w:jc w:val="both"/>
      </w:pPr>
      <w:r>
        <w:rPr>
          <w:sz w:val="21"/>
        </w:rPr>
        <w:t>5</w:t>
      </w:r>
      <w:r>
        <w:rPr>
          <w:sz w:val="21"/>
        </w:rPr>
        <w:t>.乙方保证提供的设备符合国家主管部门规定的质量标准和技术要求。</w:t>
      </w:r>
    </w:p>
    <w:p>
      <w:pPr>
        <w:pStyle w:val="null3"/>
        <w:ind w:right="-60" w:firstLine="420"/>
        <w:jc w:val="both"/>
      </w:pPr>
      <w:r>
        <w:rPr>
          <w:sz w:val="21"/>
        </w:rPr>
        <w:t>6</w:t>
      </w:r>
      <w:r>
        <w:rPr>
          <w:sz w:val="21"/>
        </w:rPr>
        <w:t>.乙方应接受并配合甲方组织的对本合同履行情况的监督与检查，对于甲方指出的问题，应及时作出合理解释或予以纠正。</w:t>
      </w:r>
    </w:p>
    <w:p>
      <w:pPr>
        <w:pStyle w:val="null3"/>
        <w:ind w:right="-60" w:firstLine="420"/>
        <w:jc w:val="both"/>
      </w:pPr>
      <w:r>
        <w:rPr>
          <w:sz w:val="21"/>
        </w:rPr>
        <w:t>7</w:t>
      </w:r>
      <w:r>
        <w:rPr>
          <w:sz w:val="21"/>
        </w:rPr>
        <w:t>.乙方保证对其在讨论、签订、履行本合同过程中所获悉的属于甲方的且无法从公开渠道获得的文件资料及信息，甲方在讨论、签订、履行本合同过程中向乙方提供的文件资料及信息等，予以严格保密并应采取相应的保密措施，保证其自身及工作人员不私自使用或向任何第三方泄露；否则，乙方承担由此给甲方造成的一切损失。无论本合同是否被撤销、变更、解除或终止，无论本合同是否生效，本合同之保密条款不受其限制而继续有效。</w:t>
      </w:r>
    </w:p>
    <w:p>
      <w:pPr>
        <w:pStyle w:val="null3"/>
        <w:ind w:firstLine="422"/>
        <w:jc w:val="both"/>
      </w:pPr>
      <w:r>
        <w:rPr>
          <w:sz w:val="21"/>
          <w:b/>
        </w:rPr>
        <w:t>九</w:t>
      </w:r>
      <w:r>
        <w:rPr>
          <w:sz w:val="21"/>
          <w:b/>
        </w:rPr>
        <w:t>.违约与责任</w:t>
      </w:r>
    </w:p>
    <w:p>
      <w:pPr>
        <w:pStyle w:val="null3"/>
        <w:ind w:firstLine="420"/>
        <w:jc w:val="both"/>
      </w:pPr>
      <w:r>
        <w:rPr>
          <w:sz w:val="21"/>
        </w:rPr>
        <w:t>（一）因乙方原因，造成甲方相关业务中断的，由此给甲方造成的损失，由乙方赔偿相关损失。</w:t>
      </w:r>
    </w:p>
    <w:p>
      <w:pPr>
        <w:pStyle w:val="null3"/>
        <w:ind w:firstLine="420"/>
        <w:jc w:val="both"/>
      </w:pPr>
      <w:r>
        <w:rPr>
          <w:sz w:val="21"/>
        </w:rPr>
        <w:t>（</w:t>
      </w:r>
      <w:r>
        <w:rPr>
          <w:sz w:val="21"/>
        </w:rPr>
        <w:t>二</w:t>
      </w:r>
      <w:r>
        <w:rPr>
          <w:sz w:val="21"/>
        </w:rPr>
        <w:t>）乙方</w:t>
      </w:r>
      <w:r>
        <w:rPr>
          <w:sz w:val="21"/>
        </w:rPr>
        <w:t>因整改导致的逾期交付责任应由乙方承担</w:t>
      </w:r>
      <w:r>
        <w:rPr>
          <w:sz w:val="21"/>
        </w:rPr>
        <w:t>，</w:t>
      </w:r>
      <w:r>
        <w:rPr>
          <w:sz w:val="21"/>
        </w:rPr>
        <w:t>由此给甲方造成的损失，由乙方赔偿相关损失</w:t>
      </w:r>
      <w:r>
        <w:rPr>
          <w:sz w:val="21"/>
        </w:rPr>
        <w:t>。</w:t>
      </w:r>
    </w:p>
    <w:p>
      <w:pPr>
        <w:pStyle w:val="null3"/>
        <w:ind w:firstLine="420"/>
        <w:jc w:val="both"/>
      </w:pPr>
      <w:r>
        <w:rPr>
          <w:sz w:val="21"/>
        </w:rPr>
        <w:t>（</w:t>
      </w:r>
      <w:r>
        <w:rPr>
          <w:sz w:val="21"/>
        </w:rPr>
        <w:t>三</w:t>
      </w:r>
      <w:r>
        <w:rPr>
          <w:sz w:val="21"/>
        </w:rPr>
        <w:t>）由于甲方机房供电异常、甲方无故阻止乙方的维护人员进行维护工作、甲方人员操作不当等造成甲方相关业务中断的，由此给甲方造成的损失，乙方不承担赔偿责任。</w:t>
      </w:r>
    </w:p>
    <w:p>
      <w:pPr>
        <w:pStyle w:val="null3"/>
        <w:ind w:firstLine="420"/>
        <w:jc w:val="both"/>
      </w:pPr>
      <w:r>
        <w:rPr>
          <w:sz w:val="21"/>
        </w:rPr>
        <w:t>（</w:t>
      </w:r>
      <w:r>
        <w:rPr>
          <w:sz w:val="21"/>
        </w:rPr>
        <w:t>四</w:t>
      </w:r>
      <w:r>
        <w:rPr>
          <w:sz w:val="21"/>
        </w:rPr>
        <w:t>）</w:t>
      </w:r>
      <w:r>
        <w:rPr>
          <w:sz w:val="21"/>
        </w:rPr>
        <w:t>如因甲方或乙方或政策原因导致本合同服务需要提前终止的，甲方按照</w:t>
      </w:r>
      <w:r>
        <w:rPr>
          <w:sz w:val="21"/>
        </w:rPr>
        <w:t>实际发生的数量</w:t>
      </w:r>
      <w:r>
        <w:rPr>
          <w:sz w:val="21"/>
        </w:rPr>
        <w:t>向乙方据实支付本项目结算金额。</w:t>
      </w:r>
    </w:p>
    <w:p>
      <w:pPr>
        <w:pStyle w:val="null3"/>
        <w:ind w:firstLine="420"/>
        <w:jc w:val="both"/>
      </w:pPr>
      <w:r>
        <w:rPr>
          <w:sz w:val="21"/>
        </w:rPr>
        <w:t>（</w:t>
      </w:r>
      <w:r>
        <w:rPr>
          <w:sz w:val="21"/>
        </w:rPr>
        <w:t>五</w:t>
      </w:r>
      <w:r>
        <w:rPr>
          <w:sz w:val="21"/>
        </w:rPr>
        <w:t>）如</w:t>
      </w:r>
      <w:r>
        <w:rPr>
          <w:sz w:val="21"/>
        </w:rPr>
        <w:t>甲方无正当理由终止本协议</w:t>
      </w:r>
      <w:r>
        <w:rPr>
          <w:sz w:val="21"/>
        </w:rPr>
        <w:t>的</w:t>
      </w:r>
      <w:r>
        <w:rPr>
          <w:sz w:val="21"/>
        </w:rPr>
        <w:t>，应向乙方承担违约责任，并赔偿乙方由此遭受的所有损失，包括但不限于乙方为履行本协议已支出的相关款项。</w:t>
      </w:r>
    </w:p>
    <w:p>
      <w:pPr>
        <w:pStyle w:val="null3"/>
        <w:ind w:firstLine="420"/>
        <w:jc w:val="both"/>
      </w:pPr>
      <w:r>
        <w:rPr>
          <w:sz w:val="21"/>
        </w:rPr>
        <w:t>（</w:t>
      </w:r>
      <w:r>
        <w:rPr>
          <w:sz w:val="21"/>
        </w:rPr>
        <w:t>六</w:t>
      </w:r>
      <w:r>
        <w:rPr>
          <w:sz w:val="21"/>
        </w:rPr>
        <w:t>）如乙方</w:t>
      </w:r>
      <w:r>
        <w:rPr>
          <w:sz w:val="21"/>
        </w:rPr>
        <w:t>甲方无正当理由终止本协议</w:t>
      </w:r>
      <w:r>
        <w:rPr>
          <w:sz w:val="21"/>
        </w:rPr>
        <w:t>的，应向甲方承担违约责任，并赔偿甲方由此遭受的所有损失。</w:t>
      </w:r>
    </w:p>
    <w:p>
      <w:pPr>
        <w:pStyle w:val="null3"/>
        <w:ind w:firstLine="420"/>
        <w:jc w:val="both"/>
      </w:pPr>
      <w:r>
        <w:rPr>
          <w:sz w:val="21"/>
        </w:rPr>
        <w:t>（</w:t>
      </w:r>
      <w:r>
        <w:rPr>
          <w:sz w:val="21"/>
        </w:rPr>
        <w:t>七</w:t>
      </w:r>
      <w:r>
        <w:rPr>
          <w:sz w:val="21"/>
        </w:rPr>
        <w:t>）乙方未在本合同约定的期限内完成</w:t>
      </w:r>
      <w:r>
        <w:rPr>
          <w:sz w:val="21"/>
        </w:rPr>
        <w:t>维护</w:t>
      </w:r>
      <w:r>
        <w:rPr>
          <w:sz w:val="21"/>
        </w:rPr>
        <w:t>的，每逾期一天，乙方应按本合同总价的</w:t>
      </w:r>
      <w:r>
        <w:rPr>
          <w:sz w:val="21"/>
          <w:u w:val="single"/>
        </w:rPr>
        <w:t xml:space="preserve"> </w:t>
      </w:r>
      <w:r>
        <w:rPr>
          <w:sz w:val="21"/>
          <w:u w:val="single"/>
        </w:rPr>
        <w:t xml:space="preserve">1 </w:t>
      </w:r>
      <w:r>
        <w:rPr>
          <w:sz w:val="21"/>
        </w:rPr>
        <w:t>‰向甲方支付违约金；逾期达</w:t>
      </w:r>
      <w:r>
        <w:rPr>
          <w:sz w:val="21"/>
          <w:u w:val="single"/>
        </w:rPr>
        <w:t xml:space="preserve"> </w:t>
      </w:r>
      <w:r>
        <w:rPr>
          <w:sz w:val="21"/>
          <w:u w:val="single"/>
        </w:rPr>
        <w:t xml:space="preserve">30 </w:t>
      </w:r>
      <w:r>
        <w:rPr>
          <w:sz w:val="21"/>
        </w:rPr>
        <w:t>天，甲方有权单方解除本合同，且乙方仍应按前述标准支付违约金、直至本合同解除之日。</w:t>
      </w:r>
    </w:p>
    <w:p>
      <w:pPr>
        <w:pStyle w:val="null3"/>
        <w:ind w:firstLine="420"/>
        <w:jc w:val="both"/>
      </w:pPr>
      <w:r>
        <w:rPr>
          <w:sz w:val="21"/>
        </w:rPr>
        <w:t>（</w:t>
      </w:r>
      <w:r>
        <w:rPr>
          <w:sz w:val="21"/>
        </w:rPr>
        <w:t>八</w:t>
      </w:r>
      <w:r>
        <w:rPr>
          <w:sz w:val="21"/>
        </w:rPr>
        <w:t>）乙方未能按照本合同约定时限及时处理故障的，每出现一次逾期情形，应按本合同总价的</w:t>
      </w:r>
      <w:r>
        <w:rPr>
          <w:sz w:val="21"/>
          <w:u w:val="single"/>
        </w:rPr>
        <w:t xml:space="preserve">1 </w:t>
      </w:r>
      <w:r>
        <w:rPr>
          <w:sz w:val="21"/>
        </w:rPr>
        <w:t>％向甲方支付违约金；前述违约情形累计出现达</w:t>
      </w:r>
      <w:r>
        <w:rPr>
          <w:sz w:val="21"/>
          <w:u w:val="single"/>
        </w:rPr>
        <w:t xml:space="preserve"> </w:t>
      </w:r>
      <w:r>
        <w:rPr>
          <w:sz w:val="21"/>
          <w:u w:val="single"/>
        </w:rPr>
        <w:t xml:space="preserve">10 </w:t>
      </w:r>
      <w:r>
        <w:rPr>
          <w:sz w:val="21"/>
        </w:rPr>
        <w:t>次，甲方有权单方解除本合同，且乙方仍应按前述标准支付违约金。</w:t>
      </w:r>
    </w:p>
    <w:p>
      <w:pPr>
        <w:pStyle w:val="null3"/>
        <w:ind w:firstLine="420"/>
        <w:jc w:val="both"/>
      </w:pPr>
      <w:r>
        <w:rPr>
          <w:sz w:val="21"/>
        </w:rPr>
        <w:t>（</w:t>
      </w:r>
      <w:r>
        <w:rPr>
          <w:sz w:val="21"/>
        </w:rPr>
        <w:t>九</w:t>
      </w:r>
      <w:r>
        <w:rPr>
          <w:sz w:val="21"/>
        </w:rPr>
        <w:t>）未经甲方书面许可，乙方将本合同项下工作整体分包给第三方的，乙方应按本合同总价的</w:t>
      </w:r>
      <w:r>
        <w:rPr>
          <w:sz w:val="21"/>
          <w:u w:val="single"/>
        </w:rPr>
        <w:t xml:space="preserve"> </w:t>
      </w:r>
      <w:r>
        <w:rPr>
          <w:sz w:val="21"/>
          <w:u w:val="single"/>
        </w:rPr>
        <w:t xml:space="preserve">30 </w:t>
      </w:r>
      <w:r>
        <w:rPr>
          <w:sz w:val="21"/>
        </w:rPr>
        <w:t>%向甲方支付违约金，且甲方有权单方解除本合同。</w:t>
      </w:r>
    </w:p>
    <w:p>
      <w:pPr>
        <w:pStyle w:val="null3"/>
        <w:ind w:firstLine="420"/>
        <w:jc w:val="both"/>
      </w:pPr>
      <w:r>
        <w:rPr>
          <w:sz w:val="21"/>
        </w:rPr>
        <w:t>（</w:t>
      </w:r>
      <w:r>
        <w:rPr>
          <w:sz w:val="21"/>
        </w:rPr>
        <w:t>十</w:t>
      </w:r>
      <w:r>
        <w:rPr>
          <w:sz w:val="21"/>
        </w:rPr>
        <w:t>）甲方有权自应付而未付款项中直接抵扣乙方应付之违约金、赔偿款等，并视为已足额付款。且，因乙方违约而导致甲方单方解除本合同的，本合同项下未付款项均不予支付且乙方应全额退还已收取款项（如有）。</w:t>
      </w:r>
    </w:p>
    <w:p>
      <w:pPr>
        <w:pStyle w:val="null3"/>
        <w:ind w:firstLine="420"/>
        <w:jc w:val="both"/>
      </w:pPr>
      <w:r>
        <w:rPr>
          <w:sz w:val="21"/>
        </w:rPr>
        <w:t>（十</w:t>
      </w:r>
      <w:r>
        <w:rPr>
          <w:sz w:val="21"/>
        </w:rPr>
        <w:t>一</w:t>
      </w:r>
      <w:r>
        <w:rPr>
          <w:sz w:val="21"/>
        </w:rPr>
        <w:t>）如因乙方的违约行为导致甲方遭受损失（包括但不限于甲方为本合同履行而发生的支出、诉讼费</w:t>
      </w:r>
      <w:r>
        <w:rPr>
          <w:sz w:val="21"/>
        </w:rPr>
        <w:t>/仲裁费、财产保全费、财产保全担保费、公证费、评估费、鉴定费、拍卖费、查询费、律师费、差旅费、调查取证费、财务费用、向权利人支付的赔偿款/违约金/费用、向政府部门支付的罚款等）的，除支付违约金外，乙方还应当予以赔偿。</w:t>
      </w:r>
    </w:p>
    <w:p>
      <w:pPr>
        <w:pStyle w:val="null3"/>
        <w:ind w:firstLine="420"/>
        <w:jc w:val="both"/>
      </w:pPr>
      <w:r>
        <w:rPr>
          <w:sz w:val="21"/>
        </w:rPr>
        <w:t>（十</w:t>
      </w:r>
      <w:r>
        <w:rPr>
          <w:sz w:val="21"/>
        </w:rPr>
        <w:t>二</w:t>
      </w:r>
      <w:r>
        <w:rPr>
          <w:sz w:val="21"/>
        </w:rPr>
        <w:t>）不可抗力及免责</w:t>
      </w:r>
    </w:p>
    <w:p>
      <w:pPr>
        <w:pStyle w:val="null3"/>
        <w:ind w:firstLine="420"/>
        <w:jc w:val="both"/>
      </w:pPr>
      <w:r>
        <w:rPr>
          <w:sz w:val="21"/>
        </w:rPr>
        <w:t>如由于战争、骚乱、恐怖主义、自然灾害、罢工、政府行为、国家法律法规或规章变动、网络安全、网络无法覆盖、停电及通信线路被人为破坏，导致本协议无法继续履行的，受影响方无须承担违约责任，但应尽快书面通知对方。</w:t>
      </w:r>
    </w:p>
    <w:p>
      <w:pPr>
        <w:pStyle w:val="null3"/>
        <w:ind w:firstLine="420"/>
        <w:jc w:val="both"/>
      </w:pPr>
      <w:r>
        <w:rPr>
          <w:sz w:val="21"/>
        </w:rPr>
        <w:t>因上述不可抗力及免责事项引起的设备更换或维修的成本由</w:t>
      </w:r>
      <w:r>
        <w:rPr>
          <w:sz w:val="21"/>
        </w:rPr>
        <w:t>乙方</w:t>
      </w:r>
      <w:r>
        <w:rPr>
          <w:sz w:val="21"/>
        </w:rPr>
        <w:t>承担。</w:t>
      </w:r>
    </w:p>
    <w:p>
      <w:pPr>
        <w:pStyle w:val="null3"/>
        <w:ind w:firstLine="420"/>
        <w:jc w:val="both"/>
      </w:pPr>
      <w:r>
        <w:rPr>
          <w:sz w:val="21"/>
        </w:rPr>
        <w:t>（十</w:t>
      </w:r>
      <w:r>
        <w:rPr>
          <w:sz w:val="21"/>
        </w:rPr>
        <w:t>三</w:t>
      </w:r>
      <w:r>
        <w:rPr>
          <w:sz w:val="21"/>
        </w:rPr>
        <w:t>）合同纠纷解决</w:t>
      </w:r>
    </w:p>
    <w:p>
      <w:pPr>
        <w:pStyle w:val="null3"/>
        <w:ind w:firstLine="420"/>
        <w:jc w:val="both"/>
      </w:pPr>
      <w:r>
        <w:rPr>
          <w:sz w:val="21"/>
        </w:rPr>
        <w:t>因</w:t>
      </w:r>
      <w:r>
        <w:rPr>
          <w:sz w:val="21"/>
        </w:rPr>
        <w:t>设备</w:t>
      </w:r>
      <w:r>
        <w:rPr>
          <w:sz w:val="21"/>
        </w:rPr>
        <w:t>质量问题发生争议，可由辖区质量技术监督局或其指定的质量鉴定单位进行质量鉴定。设备经鉴定符合质量标准的，鉴定费由甲方承担；设备经鉴定不符合质量标准的，鉴定费由乙方承担。</w:t>
      </w:r>
    </w:p>
    <w:p>
      <w:pPr>
        <w:pStyle w:val="null3"/>
        <w:ind w:firstLine="420"/>
        <w:jc w:val="both"/>
      </w:pPr>
      <w:r>
        <w:rPr>
          <w:sz w:val="21"/>
        </w:rPr>
        <w:t>（十</w:t>
      </w:r>
      <w:r>
        <w:rPr>
          <w:sz w:val="21"/>
        </w:rPr>
        <w:t>四</w:t>
      </w:r>
      <w:r>
        <w:rPr>
          <w:sz w:val="21"/>
        </w:rPr>
        <w:t>）甲乙双方如产生合同纠纷，协商不成的情况下，可向甲方所在地人民法院提起诉讼。</w:t>
      </w:r>
    </w:p>
    <w:p>
      <w:pPr>
        <w:pStyle w:val="null3"/>
        <w:ind w:firstLine="422"/>
        <w:jc w:val="both"/>
      </w:pPr>
      <w:r>
        <w:rPr>
          <w:sz w:val="21"/>
          <w:b/>
        </w:rPr>
        <w:t>十</w:t>
      </w:r>
      <w:r>
        <w:rPr>
          <w:sz w:val="21"/>
          <w:b/>
        </w:rPr>
        <w:t>.其他</w:t>
      </w:r>
    </w:p>
    <w:p>
      <w:pPr>
        <w:pStyle w:val="null3"/>
        <w:ind w:firstLine="420"/>
        <w:jc w:val="both"/>
      </w:pPr>
      <w:r>
        <w:rPr>
          <w:sz w:val="21"/>
        </w:rPr>
        <w:t>（一）合同生效：本合同自双方授权代表签字盖章之日起生效。</w:t>
      </w:r>
    </w:p>
    <w:p>
      <w:pPr>
        <w:pStyle w:val="null3"/>
        <w:ind w:firstLine="420"/>
        <w:jc w:val="both"/>
      </w:pPr>
      <w:r>
        <w:rPr>
          <w:sz w:val="21"/>
        </w:rPr>
        <w:t>（二）合同份数：一式伍份，甲方执叁份，乙方执贰份，具有同等法律效力。</w:t>
      </w:r>
    </w:p>
    <w:p>
      <w:pPr>
        <w:pStyle w:val="null3"/>
        <w:ind w:firstLine="420"/>
        <w:jc w:val="both"/>
      </w:pPr>
      <w:r>
        <w:rPr>
          <w:sz w:val="21"/>
        </w:rPr>
        <w:t>（三）合同变更：由于出现不可预见的情况，影响项目无法如期完成，甲乙双方可要求变更约定事项，但应及时通知对方，并由双方协商解决。</w:t>
      </w:r>
    </w:p>
    <w:p>
      <w:pPr>
        <w:pStyle w:val="null3"/>
        <w:ind w:firstLine="420"/>
        <w:jc w:val="both"/>
      </w:pPr>
      <w:r>
        <w:rPr>
          <w:sz w:val="21"/>
        </w:rPr>
        <w:t>（四）本合同如与法律、法规及国家相关规定不符的，以法律、法规及国家的相关规定为准。</w:t>
      </w:r>
    </w:p>
    <w:p>
      <w:pPr>
        <w:pStyle w:val="null3"/>
        <w:ind w:firstLine="420"/>
        <w:jc w:val="both"/>
      </w:pPr>
      <w:r>
        <w:rPr>
          <w:sz w:val="21"/>
        </w:rPr>
        <w:t>（五）本合同未尽事宜，双方可签订补充合同，补充合同与所有附件均为合同的有效组成部分，与本合同具有同等法律效力。</w:t>
      </w:r>
    </w:p>
    <w:p>
      <w:pPr>
        <w:pStyle w:val="null3"/>
        <w:ind w:firstLine="420"/>
        <w:jc w:val="left"/>
      </w:pPr>
      <w:r>
        <w:rPr>
          <w:sz w:val="21"/>
        </w:rPr>
        <w:t>（六）本合同第一条列明之当事人联系方式和联系信息适用于双方工作联系往来、法律文书及争议解决时人民法院或仲裁机构的法律文书送达，人民法院或仲裁机构的诉讼文书（含裁判文书）向本合同任何一方的上述地址送达的，视为有效送达。一方变更联系方式和联系信息的，应当在变更后</w:t>
      </w:r>
      <w:r>
        <w:rPr>
          <w:sz w:val="21"/>
          <w:u w:val="single"/>
        </w:rPr>
        <w:t xml:space="preserve">  </w:t>
      </w:r>
      <w:r>
        <w:rPr>
          <w:sz w:val="21"/>
          <w:u w:val="single"/>
        </w:rPr>
        <w:t xml:space="preserve">3  </w:t>
      </w:r>
      <w:r>
        <w:rPr>
          <w:sz w:val="21"/>
        </w:rPr>
        <w:t>日内及时书面通知对方，对方实际收到变更通知前的送达仍为有效送达。</w:t>
      </w:r>
    </w:p>
    <w:p>
      <w:pPr>
        <w:pStyle w:val="null3"/>
        <w:ind w:firstLine="422"/>
        <w:jc w:val="both"/>
      </w:pPr>
      <w:r>
        <w:rPr>
          <w:sz w:val="21"/>
          <w:b/>
        </w:rPr>
        <w:t>十</w:t>
      </w:r>
      <w:r>
        <w:rPr>
          <w:sz w:val="21"/>
          <w:b/>
        </w:rPr>
        <w:t>一</w:t>
      </w:r>
      <w:r>
        <w:rPr>
          <w:sz w:val="21"/>
          <w:b/>
        </w:rPr>
        <w:t>.合同附件</w:t>
      </w:r>
      <w:r>
        <w:rPr>
          <w:sz w:val="21"/>
          <w:b/>
        </w:rPr>
        <w:t>（</w:t>
      </w:r>
      <w:r>
        <w:rPr>
          <w:sz w:val="21"/>
          <w:b/>
        </w:rPr>
        <w:t>如有</w:t>
      </w:r>
      <w:r>
        <w:rPr>
          <w:sz w:val="21"/>
          <w:b/>
        </w:rPr>
        <w:t>）</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3668"/>
        <w:gridCol w:w="4145"/>
      </w:tblGrid>
      <w:tr>
        <w:tc>
          <w:tcPr>
            <w:tcW w:type="dxa" w:w="36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w:t>
            </w:r>
            <w:r>
              <w:rPr>
                <w:sz w:val="21"/>
              </w:rPr>
              <w:t>东莞滨海湾新区管理委员会</w:t>
            </w:r>
          </w:p>
          <w:p>
            <w:pPr>
              <w:pStyle w:val="null3"/>
              <w:jc w:val="both"/>
            </w:pP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p>
            <w:pPr>
              <w:pStyle w:val="null3"/>
              <w:jc w:val="both"/>
            </w:pPr>
          </w:p>
        </w:tc>
      </w:tr>
      <w:tr>
        <w:tc>
          <w:tcPr>
            <w:tcW w:type="dxa" w:w="36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r>
              <w:rPr>
                <w:sz w:val="21"/>
              </w:rPr>
              <w:t>东莞市滨海湾新区兴海路</w:t>
            </w:r>
            <w:r>
              <w:rPr>
                <w:sz w:val="21"/>
              </w:rPr>
              <w:t>1</w:t>
            </w:r>
          </w:p>
          <w:p>
            <w:pPr>
              <w:pStyle w:val="null3"/>
              <w:jc w:val="both"/>
            </w:pPr>
            <w:r>
              <w:rPr>
                <w:sz w:val="21"/>
              </w:rPr>
              <w:t>号</w:t>
            </w:r>
          </w:p>
          <w:p>
            <w:pPr>
              <w:pStyle w:val="null3"/>
              <w:jc w:val="both"/>
            </w:pP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p>
        </w:tc>
      </w:tr>
      <w:tr>
        <w:tc>
          <w:tcPr>
            <w:tcW w:type="dxa" w:w="36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法定代表人或授权代表人：</w:t>
            </w:r>
          </w:p>
          <w:p>
            <w:pPr>
              <w:pStyle w:val="null3"/>
              <w:spacing w:before="165"/>
              <w:ind w:left="120"/>
              <w:jc w:val="both"/>
            </w:pP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法定代表人或授权代表人：</w:t>
            </w:r>
          </w:p>
        </w:tc>
      </w:tr>
    </w:tbl>
    <w:p>
      <w:pPr>
        <w:pStyle w:val="null3"/>
        <w:jc w:val="both"/>
      </w:pPr>
      <w:r>
        <w:rPr>
          <w:sz w:val="21"/>
        </w:rPr>
        <w:t>签约时间：</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签约时间：</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441900011-2025-00098</w:t>
      </w:r>
    </w:p>
    <w:p>
      <w:pPr>
        <w:pStyle w:val="null3"/>
        <w:jc w:val="center"/>
        <w:outlineLvl w:val="3"/>
      </w:pPr>
      <w:r>
        <w:rPr>
          <w:sz w:val="24"/>
          <w:b/>
        </w:rPr>
        <w:t>采购项目编号：</w:t>
      </w:r>
      <w:r>
        <w:rPr>
          <w:sz w:val="24"/>
          <w:b/>
        </w:rPr>
        <w:t>441900011-2025-00098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东莞滨海湾新区算力资源租赁服务项目</w:t>
      </w:r>
      <w:r>
        <w:rPr>
          <w:u w:val="single"/>
        </w:rPr>
        <w:t>”</w:t>
      </w:r>
      <w:r>
        <w:rPr/>
        <w:t>项目的招标[采购项目编号为：</w:t>
      </w:r>
      <w:r>
        <w:rPr>
          <w:u w:val="single"/>
        </w:rPr>
        <w:t>441900011-2025-00098</w:t>
      </w:r>
      <w:r>
        <w:rPr/>
        <w:t>]，我方愿参与投标。</w:t>
      </w:r>
    </w:p>
    <w:p>
      <w:pPr>
        <w:pStyle w:val="null3"/>
        <w:ind w:firstLine="480"/>
      </w:pPr>
      <w:r>
        <w:rPr/>
        <w:t>我方确认收到贵方提供的</w:t>
      </w:r>
      <w:r>
        <w:rPr>
          <w:u w:val="single"/>
        </w:rPr>
        <w:t>“</w:t>
      </w:r>
      <w:r>
        <w:rPr>
          <w:u w:val="single"/>
        </w:rPr>
        <w:t>东莞滨海湾新区算力资源租赁服务项目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东莞滨海湾新区算力资源租赁服务项目</w:t>
      </w:r>
      <w:r>
        <w:rPr/>
        <w:t>”项目采购[采购项目编号为</w:t>
      </w:r>
      <w:r>
        <w:rPr/>
        <w:t>441900011-2025-00098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东莞滨海湾新区管理委员会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东莞滨海湾新区算力资源租赁服务项目</w:t>
      </w:r>
      <w:r>
        <w:rPr/>
        <w:t>招标中获中标（采购项目编号：</w:t>
      </w:r>
      <w:r>
        <w:rPr/>
        <w:t>441900011-2025-00098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东莞滨海湾新区算力资源租赁服务项目</w:t>
      </w:r>
      <w:r>
        <w:rPr/>
        <w:t>”项目（采购项目编号：</w:t>
      </w:r>
      <w:r>
        <w:rPr/>
        <w:t>441900011-2025-00098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